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31" w:rsidRDefault="005B4631" w:rsidP="005B4631">
      <w:pPr>
        <w:jc w:val="center"/>
        <w:rPr>
          <w:noProof/>
        </w:rPr>
      </w:pPr>
      <w:bookmarkStart w:id="0" w:name="_GoBack"/>
      <w:bookmarkEnd w:id="0"/>
    </w:p>
    <w:p w:rsidR="005B4631" w:rsidRPr="00C815F6" w:rsidRDefault="005B4631" w:rsidP="005B4631">
      <w:pPr>
        <w:jc w:val="center"/>
        <w:rPr>
          <w:b/>
          <w:caps/>
          <w:sz w:val="40"/>
          <w:szCs w:val="40"/>
          <w:lang w:eastAsia="cs-CZ"/>
        </w:rPr>
      </w:pPr>
      <w:r w:rsidRPr="00C815F6">
        <w:rPr>
          <w:b/>
          <w:caps/>
          <w:sz w:val="40"/>
          <w:szCs w:val="40"/>
          <w:lang w:eastAsia="cs-CZ"/>
        </w:rPr>
        <w:t>Obec Dolné Strháre</w:t>
      </w:r>
    </w:p>
    <w:p w:rsidR="005B4631" w:rsidRPr="004B6A34" w:rsidRDefault="005B4631" w:rsidP="005B4631">
      <w:pPr>
        <w:rPr>
          <w:b/>
          <w:caps/>
          <w:sz w:val="28"/>
          <w:szCs w:val="28"/>
          <w:lang w:eastAsia="cs-CZ"/>
        </w:rPr>
      </w:pPr>
    </w:p>
    <w:p w:rsidR="005B4631" w:rsidRPr="004B6A34" w:rsidRDefault="005B4631" w:rsidP="005B4631"/>
    <w:p w:rsidR="005B4631" w:rsidRPr="004B6A34" w:rsidRDefault="005B4631" w:rsidP="005B4631">
      <w:pPr>
        <w:jc w:val="center"/>
        <w:rPr>
          <w:noProof/>
        </w:rPr>
      </w:pPr>
      <w:r w:rsidRPr="00911142">
        <w:rPr>
          <w:noProof/>
        </w:rPr>
        <w:drawing>
          <wp:inline distT="0" distB="0" distL="0" distR="0" wp14:anchorId="73D56CCE" wp14:editId="5DBC1498">
            <wp:extent cx="2602230" cy="2431415"/>
            <wp:effectExtent l="0" t="0" r="7620" b="698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230" cy="2431415"/>
                    </a:xfrm>
                    <a:prstGeom prst="rect">
                      <a:avLst/>
                    </a:prstGeom>
                    <a:noFill/>
                    <a:ln>
                      <a:noFill/>
                    </a:ln>
                  </pic:spPr>
                </pic:pic>
              </a:graphicData>
            </a:graphic>
          </wp:inline>
        </w:drawing>
      </w:r>
    </w:p>
    <w:p w:rsidR="005B4631" w:rsidRPr="004B6A34" w:rsidRDefault="005B4631" w:rsidP="005B4631">
      <w:pPr>
        <w:jc w:val="center"/>
        <w:rPr>
          <w:b/>
          <w:caps/>
          <w:sz w:val="48"/>
          <w:szCs w:val="48"/>
          <w:lang w:eastAsia="cs-CZ"/>
        </w:rPr>
      </w:pPr>
      <w:r w:rsidRPr="004B6A34">
        <w:rPr>
          <w:b/>
          <w:caps/>
          <w:sz w:val="48"/>
          <w:szCs w:val="48"/>
          <w:lang w:eastAsia="cs-CZ"/>
        </w:rPr>
        <w:t xml:space="preserve">Všeobecne záväzné nariadenie </w:t>
      </w:r>
      <w:r>
        <w:rPr>
          <w:b/>
          <w:caps/>
          <w:sz w:val="48"/>
          <w:szCs w:val="48"/>
          <w:lang w:eastAsia="cs-CZ"/>
        </w:rPr>
        <w:t xml:space="preserve">obce Dolné Strháre </w:t>
      </w:r>
    </w:p>
    <w:p w:rsidR="005B4631" w:rsidRPr="004B6A34" w:rsidRDefault="005B4631" w:rsidP="005B4631">
      <w:pPr>
        <w:jc w:val="center"/>
        <w:rPr>
          <w:b/>
          <w:caps/>
          <w:sz w:val="48"/>
          <w:szCs w:val="48"/>
          <w:lang w:eastAsia="cs-CZ"/>
        </w:rPr>
      </w:pPr>
      <w:r w:rsidRPr="004B6A34">
        <w:rPr>
          <w:b/>
          <w:caps/>
          <w:sz w:val="48"/>
          <w:szCs w:val="48"/>
          <w:lang w:eastAsia="cs-CZ"/>
        </w:rPr>
        <w:t xml:space="preserve"> </w:t>
      </w:r>
      <w:r w:rsidRPr="004B6A34">
        <w:rPr>
          <w:b/>
          <w:sz w:val="48"/>
          <w:szCs w:val="48"/>
          <w:lang w:eastAsia="cs-CZ"/>
        </w:rPr>
        <w:t>č</w:t>
      </w:r>
      <w:r>
        <w:rPr>
          <w:b/>
          <w:caps/>
          <w:sz w:val="48"/>
          <w:szCs w:val="48"/>
          <w:lang w:eastAsia="cs-CZ"/>
        </w:rPr>
        <w:t>. 2/2017</w:t>
      </w:r>
    </w:p>
    <w:p w:rsidR="005B4631" w:rsidRPr="004B6A34" w:rsidRDefault="005B4631" w:rsidP="005B4631">
      <w:pPr>
        <w:jc w:val="center"/>
        <w:rPr>
          <w:noProof/>
        </w:rPr>
      </w:pPr>
    </w:p>
    <w:p w:rsidR="005B4631" w:rsidRPr="004B6A34" w:rsidRDefault="005B4631" w:rsidP="005B4631">
      <w:pPr>
        <w:jc w:val="center"/>
      </w:pPr>
    </w:p>
    <w:p w:rsidR="005B4631" w:rsidRDefault="005B4631" w:rsidP="005B4631">
      <w:pPr>
        <w:keepNext/>
        <w:jc w:val="center"/>
        <w:outlineLvl w:val="2"/>
        <w:rPr>
          <w:b/>
          <w:sz w:val="36"/>
          <w:szCs w:val="36"/>
        </w:rPr>
      </w:pPr>
      <w:r>
        <w:rPr>
          <w:b/>
          <w:sz w:val="36"/>
          <w:szCs w:val="36"/>
        </w:rPr>
        <w:t xml:space="preserve">Bezpečnostná politika prevádzkarne IOM </w:t>
      </w:r>
    </w:p>
    <w:p w:rsidR="005B4631" w:rsidRDefault="005B4631" w:rsidP="005B4631">
      <w:pPr>
        <w:keepNext/>
        <w:jc w:val="center"/>
        <w:outlineLvl w:val="2"/>
        <w:rPr>
          <w:b/>
          <w:sz w:val="36"/>
          <w:szCs w:val="36"/>
        </w:rPr>
      </w:pPr>
    </w:p>
    <w:p w:rsidR="005B4631" w:rsidRDefault="005B4631" w:rsidP="005B4631">
      <w:pPr>
        <w:keepNext/>
        <w:jc w:val="center"/>
        <w:outlineLvl w:val="2"/>
        <w:rPr>
          <w:b/>
          <w:sz w:val="36"/>
          <w:szCs w:val="36"/>
        </w:rPr>
      </w:pPr>
    </w:p>
    <w:p w:rsidR="005B4631" w:rsidRPr="004B6A34" w:rsidRDefault="005B4631" w:rsidP="005B4631">
      <w:pPr>
        <w:keepNext/>
        <w:jc w:val="center"/>
        <w:outlineLvl w:val="2"/>
        <w:rPr>
          <w:b/>
          <w:sz w:val="36"/>
          <w:szCs w:val="36"/>
        </w:rPr>
      </w:pPr>
    </w:p>
    <w:p w:rsidR="005B4631" w:rsidRPr="004B6A34" w:rsidRDefault="005B4631" w:rsidP="005B4631">
      <w:pPr>
        <w:jc w:val="center"/>
      </w:pPr>
    </w:p>
    <w:p w:rsidR="005B4631" w:rsidRPr="004B6A34" w:rsidRDefault="005B4631" w:rsidP="005B4631"/>
    <w:p w:rsidR="005B4631" w:rsidRPr="004B6A34" w:rsidRDefault="005B4631" w:rsidP="005B4631">
      <w:pPr>
        <w:jc w:val="center"/>
        <w:rPr>
          <w:b/>
          <w:caps/>
          <w:sz w:val="28"/>
          <w:szCs w:val="28"/>
          <w:lang w:eastAsia="cs-CZ"/>
        </w:rPr>
      </w:pPr>
    </w:p>
    <w:p w:rsidR="005B4631" w:rsidRPr="004B6A34" w:rsidRDefault="005B4631" w:rsidP="005B4631">
      <w:pPr>
        <w:jc w:val="both"/>
        <w:rPr>
          <w:lang w:val="x-none" w:eastAsia="cs-CZ"/>
        </w:rPr>
      </w:pPr>
    </w:p>
    <w:p w:rsidR="005B4631" w:rsidRPr="004B6A34" w:rsidRDefault="005B4631" w:rsidP="005B4631">
      <w:pPr>
        <w:jc w:val="both"/>
        <w:rPr>
          <w:lang w:val="x-none" w:eastAsia="cs-CZ"/>
        </w:rPr>
      </w:pPr>
    </w:p>
    <w:p w:rsidR="005B4631" w:rsidRPr="004B6A34" w:rsidRDefault="005B4631" w:rsidP="005B4631">
      <w:pPr>
        <w:jc w:val="both"/>
        <w:rPr>
          <w:lang w:val="x-none" w:eastAsia="cs-CZ"/>
        </w:rPr>
      </w:pPr>
    </w:p>
    <w:p w:rsidR="005B4631" w:rsidRDefault="005B4631" w:rsidP="005B4631">
      <w:pPr>
        <w:jc w:val="both"/>
        <w:rPr>
          <w:lang w:eastAsia="cs-CZ"/>
        </w:rPr>
      </w:pPr>
      <w:r>
        <w:rPr>
          <w:lang w:val="x-none" w:eastAsia="cs-CZ"/>
        </w:rPr>
        <w:t>VZN č. 2/2017</w:t>
      </w:r>
      <w:r w:rsidRPr="004B6A34">
        <w:rPr>
          <w:lang w:val="x-none" w:eastAsia="cs-CZ"/>
        </w:rPr>
        <w:t xml:space="preserve"> vyvesené na úradnej tabuli v obci  Dolné Strháre dňa:</w:t>
      </w:r>
      <w:r>
        <w:rPr>
          <w:lang w:eastAsia="cs-CZ"/>
        </w:rPr>
        <w:t xml:space="preserve"> </w:t>
      </w:r>
    </w:p>
    <w:p w:rsidR="005B4631" w:rsidRPr="004B6A34" w:rsidRDefault="005B4631" w:rsidP="005B4631">
      <w:pPr>
        <w:jc w:val="both"/>
        <w:rPr>
          <w:lang w:eastAsia="cs-CZ"/>
        </w:rPr>
      </w:pPr>
      <w:r>
        <w:rPr>
          <w:lang w:eastAsia="cs-CZ"/>
        </w:rPr>
        <w:t xml:space="preserve">                         Od 07.11..2017  do 22.11.2017</w:t>
      </w:r>
    </w:p>
    <w:p w:rsidR="005B4631" w:rsidRPr="001E53F1" w:rsidRDefault="005B4631" w:rsidP="005B4631">
      <w:pPr>
        <w:jc w:val="both"/>
        <w:rPr>
          <w:lang w:eastAsia="cs-CZ"/>
        </w:rPr>
      </w:pPr>
      <w:r>
        <w:rPr>
          <w:lang w:val="x-none" w:eastAsia="cs-CZ"/>
        </w:rPr>
        <w:t>VZN č. 2/2017</w:t>
      </w:r>
      <w:r w:rsidRPr="004B6A34">
        <w:rPr>
          <w:lang w:val="x-none" w:eastAsia="cs-CZ"/>
        </w:rPr>
        <w:t xml:space="preserve"> schválené</w:t>
      </w:r>
      <w:r>
        <w:rPr>
          <w:lang w:eastAsia="cs-CZ"/>
        </w:rPr>
        <w:t xml:space="preserve"> uznesením OZ číslo  </w:t>
      </w:r>
      <w:r w:rsidR="001E53F1">
        <w:rPr>
          <w:lang w:eastAsia="cs-CZ"/>
        </w:rPr>
        <w:t xml:space="preserve">209/2017 </w:t>
      </w:r>
      <w:r>
        <w:rPr>
          <w:lang w:eastAsia="cs-CZ"/>
        </w:rPr>
        <w:t xml:space="preserve">  zo</w:t>
      </w:r>
      <w:r>
        <w:rPr>
          <w:lang w:val="x-none" w:eastAsia="cs-CZ"/>
        </w:rPr>
        <w:t xml:space="preserve"> dňa </w:t>
      </w:r>
      <w:r>
        <w:rPr>
          <w:lang w:eastAsia="cs-CZ"/>
        </w:rPr>
        <w:t xml:space="preserve"> </w:t>
      </w:r>
      <w:r w:rsidRPr="004B6A34">
        <w:rPr>
          <w:lang w:val="x-none" w:eastAsia="cs-CZ"/>
        </w:rPr>
        <w:tab/>
      </w:r>
      <w:r w:rsidR="001E53F1">
        <w:rPr>
          <w:lang w:eastAsia="cs-CZ"/>
        </w:rPr>
        <w:t>23.11.2017</w:t>
      </w:r>
    </w:p>
    <w:p w:rsidR="005B4631" w:rsidRPr="004B6A34" w:rsidRDefault="005B4631" w:rsidP="005B4631">
      <w:pPr>
        <w:jc w:val="both"/>
        <w:rPr>
          <w:lang w:val="x-none" w:eastAsia="cs-CZ"/>
        </w:rPr>
      </w:pPr>
      <w:r>
        <w:rPr>
          <w:lang w:val="x-none" w:eastAsia="cs-CZ"/>
        </w:rPr>
        <w:t>VZN č.</w:t>
      </w:r>
      <w:r>
        <w:rPr>
          <w:lang w:eastAsia="cs-CZ"/>
        </w:rPr>
        <w:t xml:space="preserve"> </w:t>
      </w:r>
      <w:r>
        <w:rPr>
          <w:lang w:val="x-none" w:eastAsia="cs-CZ"/>
        </w:rPr>
        <w:t>2/2017</w:t>
      </w:r>
      <w:r w:rsidRPr="004B6A34">
        <w:rPr>
          <w:lang w:val="x-none" w:eastAsia="cs-CZ"/>
        </w:rPr>
        <w:t xml:space="preserve"> vyhlásené dňa:</w:t>
      </w:r>
      <w:r w:rsidR="001E53F1">
        <w:rPr>
          <w:lang w:eastAsia="cs-CZ"/>
        </w:rPr>
        <w:t xml:space="preserve"> 24.11.2017</w:t>
      </w:r>
      <w:r w:rsidRPr="004B6A34">
        <w:rPr>
          <w:lang w:val="x-none" w:eastAsia="cs-CZ"/>
        </w:rPr>
        <w:tab/>
      </w:r>
    </w:p>
    <w:p w:rsidR="005B4631" w:rsidRPr="004B6A34" w:rsidRDefault="005B4631" w:rsidP="005B4631">
      <w:pPr>
        <w:jc w:val="both"/>
        <w:rPr>
          <w:lang w:eastAsia="cs-CZ"/>
        </w:rPr>
      </w:pPr>
      <w:r>
        <w:rPr>
          <w:lang w:val="x-none" w:eastAsia="cs-CZ"/>
        </w:rPr>
        <w:t>VZN č. 2/2017</w:t>
      </w:r>
      <w:r w:rsidRPr="004B6A34">
        <w:rPr>
          <w:lang w:val="x-none" w:eastAsia="cs-CZ"/>
        </w:rPr>
        <w:t xml:space="preserve"> nadobúda účinnosť dňa:</w:t>
      </w:r>
      <w:r>
        <w:rPr>
          <w:lang w:eastAsia="cs-CZ"/>
        </w:rPr>
        <w:t xml:space="preserve"> </w:t>
      </w:r>
      <w:r w:rsidR="001E53F1">
        <w:rPr>
          <w:lang w:eastAsia="cs-CZ"/>
        </w:rPr>
        <w:t>8.12.2017</w:t>
      </w:r>
    </w:p>
    <w:p w:rsidR="005B4631" w:rsidRDefault="005B4631" w:rsidP="005B4631">
      <w:pPr>
        <w:pStyle w:val="Normal-Bold"/>
        <w:rPr>
          <w:color w:val="000000"/>
        </w:rPr>
      </w:pPr>
    </w:p>
    <w:p w:rsidR="005B4631" w:rsidRDefault="005B4631" w:rsidP="005B4631">
      <w:pPr>
        <w:rPr>
          <w:noProof/>
        </w:rPr>
      </w:pPr>
    </w:p>
    <w:p w:rsidR="005B4631" w:rsidRDefault="005B4631" w:rsidP="005B4631">
      <w:pPr>
        <w:jc w:val="center"/>
        <w:rPr>
          <w:noProof/>
        </w:rPr>
      </w:pPr>
    </w:p>
    <w:p w:rsidR="005B4631" w:rsidRDefault="005B4631" w:rsidP="005B4631">
      <w:pPr>
        <w:jc w:val="center"/>
        <w:rPr>
          <w:noProof/>
        </w:rPr>
      </w:pPr>
    </w:p>
    <w:p w:rsidR="005B4631" w:rsidRDefault="005B4631" w:rsidP="005B4631">
      <w:pPr>
        <w:jc w:val="center"/>
        <w:rPr>
          <w:noProof/>
        </w:rPr>
      </w:pPr>
    </w:p>
    <w:p w:rsidR="005B4631" w:rsidRDefault="005B4631" w:rsidP="005B4631">
      <w:pPr>
        <w:jc w:val="center"/>
        <w:rPr>
          <w:sz w:val="22"/>
          <w:szCs w:val="22"/>
        </w:rPr>
      </w:pPr>
      <w:r>
        <w:rPr>
          <w:noProof/>
        </w:rPr>
        <w:drawing>
          <wp:inline distT="0" distB="0" distL="0" distR="0" wp14:anchorId="136EEB81" wp14:editId="214D7700">
            <wp:extent cx="5988050" cy="1059180"/>
            <wp:effectExtent l="0" t="0" r="0" b="762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0" cy="1059180"/>
                    </a:xfrm>
                    <a:prstGeom prst="rect">
                      <a:avLst/>
                    </a:prstGeom>
                    <a:noFill/>
                    <a:ln>
                      <a:noFill/>
                    </a:ln>
                  </pic:spPr>
                </pic:pic>
              </a:graphicData>
            </a:graphic>
          </wp:inline>
        </w:drawing>
      </w:r>
    </w:p>
    <w:p w:rsidR="005B4631" w:rsidRDefault="005B4631" w:rsidP="005B4631">
      <w:pPr>
        <w:jc w:val="center"/>
        <w:rPr>
          <w:b/>
          <w:sz w:val="22"/>
          <w:szCs w:val="22"/>
        </w:rPr>
      </w:pPr>
    </w:p>
    <w:p w:rsidR="005B4631" w:rsidRDefault="005B4631" w:rsidP="005B4631">
      <w:pPr>
        <w:jc w:val="center"/>
        <w:rPr>
          <w:b/>
          <w:sz w:val="22"/>
          <w:szCs w:val="22"/>
        </w:rPr>
      </w:pPr>
    </w:p>
    <w:p w:rsidR="005B4631" w:rsidRDefault="005B4631" w:rsidP="005B4631">
      <w:pPr>
        <w:jc w:val="center"/>
        <w:rPr>
          <w:b/>
          <w:sz w:val="22"/>
          <w:szCs w:val="22"/>
        </w:rPr>
      </w:pPr>
    </w:p>
    <w:p w:rsidR="005B4631" w:rsidRDefault="005B4631" w:rsidP="005B4631">
      <w:pPr>
        <w:jc w:val="center"/>
        <w:rPr>
          <w:b/>
          <w:sz w:val="22"/>
          <w:szCs w:val="22"/>
        </w:rPr>
      </w:pPr>
    </w:p>
    <w:p w:rsidR="005B4631" w:rsidRDefault="005B4631" w:rsidP="005B4631">
      <w:pPr>
        <w:jc w:val="center"/>
        <w:rPr>
          <w:b/>
          <w:sz w:val="22"/>
          <w:szCs w:val="22"/>
        </w:rPr>
      </w:pPr>
      <w:r>
        <w:rPr>
          <w:b/>
          <w:sz w:val="22"/>
          <w:szCs w:val="22"/>
        </w:rPr>
        <w:t>Európsky fond regionálneho rozvoja</w:t>
      </w:r>
    </w:p>
    <w:p w:rsidR="005B4631" w:rsidRDefault="005B4631" w:rsidP="005B4631">
      <w:pPr>
        <w:tabs>
          <w:tab w:val="center" w:pos="4818"/>
          <w:tab w:val="left" w:pos="7619"/>
        </w:tabs>
        <w:rPr>
          <w:b/>
          <w:sz w:val="22"/>
          <w:szCs w:val="22"/>
        </w:rPr>
      </w:pPr>
      <w:r>
        <w:rPr>
          <w:b/>
          <w:sz w:val="22"/>
          <w:szCs w:val="22"/>
        </w:rPr>
        <w:tab/>
        <w:t>„Tvoríme vedomostnú spoločnosť“</w:t>
      </w:r>
      <w:r>
        <w:rPr>
          <w:b/>
          <w:sz w:val="22"/>
          <w:szCs w:val="22"/>
        </w:rPr>
        <w:tab/>
      </w:r>
    </w:p>
    <w:p w:rsidR="005B4631" w:rsidRDefault="005B4631" w:rsidP="005B4631">
      <w:pPr>
        <w:jc w:val="center"/>
        <w:rPr>
          <w:b/>
          <w:sz w:val="22"/>
          <w:szCs w:val="22"/>
        </w:rPr>
      </w:pPr>
    </w:p>
    <w:p w:rsidR="005B4631" w:rsidRDefault="005B4631" w:rsidP="005B4631">
      <w:pPr>
        <w:jc w:val="center"/>
        <w:rPr>
          <w:b/>
          <w:sz w:val="22"/>
          <w:szCs w:val="22"/>
        </w:rPr>
      </w:pPr>
      <w:r>
        <w:rPr>
          <w:b/>
          <w:sz w:val="22"/>
          <w:szCs w:val="22"/>
        </w:rPr>
        <w:t>Projekt je spolufinancovaný Európskou úniou</w:t>
      </w:r>
    </w:p>
    <w:p w:rsidR="005B4631" w:rsidRDefault="005B4631" w:rsidP="005B4631">
      <w:pPr>
        <w:jc w:val="center"/>
        <w:rPr>
          <w:b/>
          <w:sz w:val="22"/>
          <w:szCs w:val="22"/>
        </w:rPr>
      </w:pPr>
    </w:p>
    <w:p w:rsidR="005B4631" w:rsidRDefault="000D7623" w:rsidP="005B4631">
      <w:pPr>
        <w:jc w:val="center"/>
        <w:rPr>
          <w:sz w:val="22"/>
          <w:szCs w:val="22"/>
        </w:rPr>
      </w:pPr>
      <w:hyperlink r:id="rId9" w:history="1">
        <w:r w:rsidR="005B4631">
          <w:rPr>
            <w:rStyle w:val="Hypertextovprepojenie"/>
            <w:sz w:val="22"/>
            <w:szCs w:val="22"/>
          </w:rPr>
          <w:t>www.opis.sk</w:t>
        </w:r>
      </w:hyperlink>
      <w:r w:rsidR="005B4631">
        <w:rPr>
          <w:sz w:val="22"/>
          <w:szCs w:val="22"/>
        </w:rPr>
        <w:t xml:space="preserve"> </w:t>
      </w:r>
    </w:p>
    <w:p w:rsidR="005B4631" w:rsidRDefault="000D7623" w:rsidP="005B4631">
      <w:pPr>
        <w:jc w:val="center"/>
        <w:rPr>
          <w:sz w:val="22"/>
          <w:szCs w:val="22"/>
        </w:rPr>
      </w:pPr>
      <w:hyperlink r:id="rId10" w:history="1">
        <w:r w:rsidR="005B4631">
          <w:rPr>
            <w:rStyle w:val="Hypertextovprepojenie"/>
            <w:sz w:val="22"/>
            <w:szCs w:val="22"/>
          </w:rPr>
          <w:t>www.informatiz</w:t>
        </w:r>
      </w:hyperlink>
      <w:hyperlink r:id="rId11" w:history="1">
        <w:r w:rsidR="005B4631">
          <w:rPr>
            <w:rStyle w:val="Hypertextovprepojenie"/>
            <w:sz w:val="22"/>
            <w:szCs w:val="22"/>
          </w:rPr>
          <w:t>á</w:t>
        </w:r>
      </w:hyperlink>
      <w:hyperlink r:id="rId12" w:history="1">
        <w:r w:rsidR="005B4631">
          <w:rPr>
            <w:rStyle w:val="Hypertextovprepojenie"/>
            <w:sz w:val="22"/>
            <w:szCs w:val="22"/>
          </w:rPr>
          <w:t>cia.sk</w:t>
        </w:r>
      </w:hyperlink>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jc w:val="center"/>
        <w:rPr>
          <w:b/>
          <w:sz w:val="22"/>
          <w:szCs w:val="22"/>
        </w:rPr>
      </w:pPr>
      <w:r>
        <w:rPr>
          <w:b/>
          <w:sz w:val="22"/>
          <w:szCs w:val="22"/>
        </w:rPr>
        <w:t>Ministerstvo financií Slovenskej republiky</w:t>
      </w:r>
    </w:p>
    <w:p w:rsidR="005B4631" w:rsidRDefault="005B4631" w:rsidP="005B4631">
      <w:pPr>
        <w:jc w:val="center"/>
        <w:rPr>
          <w:b/>
          <w:sz w:val="22"/>
          <w:szCs w:val="22"/>
        </w:rPr>
      </w:pPr>
    </w:p>
    <w:p w:rsidR="005B4631" w:rsidRDefault="005B4631" w:rsidP="005B4631">
      <w:pPr>
        <w:jc w:val="center"/>
        <w:rPr>
          <w:b/>
          <w:sz w:val="22"/>
          <w:szCs w:val="22"/>
        </w:rPr>
      </w:pPr>
      <w:r>
        <w:rPr>
          <w:b/>
          <w:sz w:val="22"/>
          <w:szCs w:val="22"/>
        </w:rPr>
        <w:t xml:space="preserve">Národný projekt: Integrované obslužné miesta </w:t>
      </w:r>
    </w:p>
    <w:p w:rsidR="005B4631" w:rsidRDefault="005B4631" w:rsidP="005B4631">
      <w:pPr>
        <w:jc w:val="center"/>
        <w:rPr>
          <w:b/>
          <w:sz w:val="22"/>
          <w:szCs w:val="22"/>
        </w:rPr>
      </w:pPr>
    </w:p>
    <w:p w:rsidR="005B4631" w:rsidRDefault="005B4631" w:rsidP="005B4631">
      <w:pPr>
        <w:jc w:val="center"/>
        <w:rPr>
          <w:b/>
          <w:sz w:val="22"/>
          <w:szCs w:val="22"/>
        </w:rPr>
      </w:pPr>
    </w:p>
    <w:p w:rsidR="005B4631" w:rsidRDefault="005B4631" w:rsidP="005B4631">
      <w:pPr>
        <w:jc w:val="center"/>
        <w:rPr>
          <w:b/>
          <w:sz w:val="22"/>
          <w:szCs w:val="22"/>
        </w:rPr>
      </w:pPr>
    </w:p>
    <w:p w:rsidR="005B4631" w:rsidRDefault="005B4631" w:rsidP="005B4631">
      <w:pPr>
        <w:jc w:val="center"/>
        <w:rPr>
          <w:b/>
          <w:sz w:val="22"/>
          <w:szCs w:val="22"/>
        </w:rPr>
      </w:pPr>
    </w:p>
    <w:p w:rsidR="005B4631" w:rsidRDefault="005B4631" w:rsidP="005B4631">
      <w:pPr>
        <w:jc w:val="center"/>
        <w:rPr>
          <w:b/>
          <w:sz w:val="22"/>
          <w:szCs w:val="22"/>
        </w:rPr>
      </w:pPr>
    </w:p>
    <w:p w:rsidR="005B4631" w:rsidRPr="00752E4D" w:rsidRDefault="005B4631" w:rsidP="005B4631">
      <w:pPr>
        <w:ind w:left="170"/>
        <w:jc w:val="center"/>
        <w:rPr>
          <w:b/>
          <w:sz w:val="28"/>
          <w:szCs w:val="28"/>
        </w:rPr>
      </w:pPr>
      <w:r>
        <w:rPr>
          <w:b/>
          <w:caps/>
          <w:sz w:val="28"/>
          <w:szCs w:val="28"/>
        </w:rPr>
        <w:t>Bezpečnostná politika pREVÁDZKARNE IOM</w:t>
      </w: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p w:rsidR="005B4631" w:rsidRDefault="005B4631" w:rsidP="005B4631">
      <w:pPr>
        <w:spacing w:before="100" w:after="100" w:line="276" w:lineRule="auto"/>
        <w:jc w:val="both"/>
        <w:rPr>
          <w:sz w:val="22"/>
          <w:szCs w:val="22"/>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119"/>
      </w:tblGrid>
      <w:tr w:rsidR="005B4631" w:rsidRPr="008A4492" w:rsidTr="00AF757F">
        <w:trPr>
          <w:trHeight w:val="248"/>
        </w:trPr>
        <w:tc>
          <w:tcPr>
            <w:tcW w:w="3354" w:type="dxa"/>
            <w:shd w:val="clear" w:color="auto" w:fill="auto"/>
          </w:tcPr>
          <w:p w:rsidR="005B4631" w:rsidRPr="008A4492" w:rsidRDefault="005B4631" w:rsidP="00AF757F">
            <w:pPr>
              <w:pStyle w:val="F2-ZkladnText"/>
              <w:jc w:val="center"/>
              <w:rPr>
                <w:rFonts w:ascii="Arial Narrow" w:eastAsia="Calibri" w:hAnsi="Arial Narrow"/>
                <w:b/>
                <w:sz w:val="22"/>
                <w:szCs w:val="22"/>
              </w:rPr>
            </w:pPr>
            <w:r w:rsidRPr="008A4492">
              <w:rPr>
                <w:rFonts w:ascii="Arial Narrow" w:eastAsia="Calibri" w:hAnsi="Arial Narrow"/>
                <w:b/>
                <w:sz w:val="22"/>
                <w:szCs w:val="22"/>
              </w:rPr>
              <w:t>Názov obce:</w:t>
            </w:r>
          </w:p>
        </w:tc>
        <w:tc>
          <w:tcPr>
            <w:tcW w:w="6119" w:type="dxa"/>
            <w:shd w:val="clear" w:color="auto" w:fill="auto"/>
          </w:tcPr>
          <w:p w:rsidR="005B4631" w:rsidRPr="008A4492" w:rsidRDefault="005B4631" w:rsidP="00AF757F">
            <w:pPr>
              <w:pStyle w:val="F2-ZkladnText"/>
              <w:jc w:val="center"/>
              <w:rPr>
                <w:rFonts w:ascii="Arial Narrow" w:eastAsia="Calibri" w:hAnsi="Arial Narrow"/>
                <w:b/>
                <w:sz w:val="22"/>
                <w:szCs w:val="22"/>
              </w:rPr>
            </w:pPr>
            <w:r>
              <w:rPr>
                <w:rFonts w:ascii="Arial Narrow" w:eastAsia="Calibri" w:hAnsi="Arial Narrow"/>
                <w:b/>
                <w:sz w:val="22"/>
                <w:szCs w:val="22"/>
              </w:rPr>
              <w:t xml:space="preserve">Dolné Strháre </w:t>
            </w:r>
          </w:p>
        </w:tc>
      </w:tr>
      <w:tr w:rsidR="005B4631" w:rsidRPr="008A4492" w:rsidTr="00AF757F">
        <w:trPr>
          <w:trHeight w:val="265"/>
        </w:trPr>
        <w:tc>
          <w:tcPr>
            <w:tcW w:w="3354" w:type="dxa"/>
            <w:shd w:val="clear" w:color="auto" w:fill="auto"/>
          </w:tcPr>
          <w:p w:rsidR="005B4631" w:rsidRPr="008A4492" w:rsidRDefault="005B4631" w:rsidP="00AF757F">
            <w:pPr>
              <w:pStyle w:val="F2-ZkladnText"/>
              <w:jc w:val="center"/>
              <w:rPr>
                <w:rFonts w:ascii="Arial Narrow" w:eastAsia="Calibri" w:hAnsi="Arial Narrow"/>
                <w:b/>
                <w:sz w:val="22"/>
                <w:szCs w:val="22"/>
              </w:rPr>
            </w:pPr>
            <w:r w:rsidRPr="008A4492">
              <w:rPr>
                <w:rFonts w:ascii="Arial Narrow" w:eastAsia="Calibri" w:hAnsi="Arial Narrow"/>
                <w:b/>
                <w:sz w:val="22"/>
                <w:szCs w:val="22"/>
              </w:rPr>
              <w:t>Sídlo:</w:t>
            </w:r>
          </w:p>
        </w:tc>
        <w:tc>
          <w:tcPr>
            <w:tcW w:w="6119" w:type="dxa"/>
            <w:shd w:val="clear" w:color="auto" w:fill="auto"/>
          </w:tcPr>
          <w:p w:rsidR="005B4631" w:rsidRPr="008A4492" w:rsidRDefault="005B4631" w:rsidP="00AF757F">
            <w:pPr>
              <w:pStyle w:val="F2-ZkladnText"/>
              <w:jc w:val="center"/>
              <w:rPr>
                <w:rFonts w:ascii="Arial Narrow" w:eastAsia="Calibri" w:hAnsi="Arial Narrow"/>
                <w:b/>
                <w:sz w:val="22"/>
                <w:szCs w:val="22"/>
              </w:rPr>
            </w:pPr>
            <w:r>
              <w:rPr>
                <w:rFonts w:ascii="Arial Narrow" w:eastAsia="Calibri" w:hAnsi="Arial Narrow"/>
                <w:b/>
                <w:sz w:val="22"/>
                <w:szCs w:val="22"/>
              </w:rPr>
              <w:t xml:space="preserve">Dolné Strháre č. 126 , 991 03 Pôtor </w:t>
            </w:r>
          </w:p>
        </w:tc>
      </w:tr>
      <w:tr w:rsidR="005B4631" w:rsidRPr="008A4492" w:rsidTr="00AF757F">
        <w:trPr>
          <w:trHeight w:val="265"/>
        </w:trPr>
        <w:tc>
          <w:tcPr>
            <w:tcW w:w="3354" w:type="dxa"/>
            <w:shd w:val="clear" w:color="auto" w:fill="auto"/>
          </w:tcPr>
          <w:p w:rsidR="005B4631" w:rsidRPr="008A4492" w:rsidRDefault="005B4631" w:rsidP="00AF757F">
            <w:pPr>
              <w:pStyle w:val="F2-ZkladnText"/>
              <w:jc w:val="center"/>
              <w:rPr>
                <w:rFonts w:ascii="Arial Narrow" w:eastAsia="Calibri" w:hAnsi="Arial Narrow"/>
                <w:b/>
                <w:sz w:val="22"/>
                <w:szCs w:val="22"/>
              </w:rPr>
            </w:pPr>
            <w:r w:rsidRPr="008A4492">
              <w:rPr>
                <w:rFonts w:ascii="Arial Narrow" w:eastAsia="Calibri" w:hAnsi="Arial Narrow"/>
                <w:b/>
                <w:sz w:val="22"/>
                <w:szCs w:val="22"/>
              </w:rPr>
              <w:t>V zastúpení:</w:t>
            </w:r>
          </w:p>
        </w:tc>
        <w:tc>
          <w:tcPr>
            <w:tcW w:w="6119" w:type="dxa"/>
            <w:shd w:val="clear" w:color="auto" w:fill="auto"/>
          </w:tcPr>
          <w:p w:rsidR="005B4631" w:rsidRPr="008A4492" w:rsidRDefault="005B4631" w:rsidP="00AF757F">
            <w:pPr>
              <w:pStyle w:val="F2-ZkladnText"/>
              <w:jc w:val="center"/>
              <w:rPr>
                <w:rFonts w:ascii="Arial Narrow" w:eastAsia="Calibri" w:hAnsi="Arial Narrow"/>
                <w:b/>
                <w:sz w:val="22"/>
                <w:szCs w:val="22"/>
              </w:rPr>
            </w:pPr>
            <w:r>
              <w:rPr>
                <w:rFonts w:ascii="Arial Narrow" w:eastAsia="Calibri" w:hAnsi="Arial Narrow"/>
                <w:b/>
                <w:sz w:val="22"/>
                <w:szCs w:val="22"/>
              </w:rPr>
              <w:t>Mgr. Gabriela Hudecová - starosta</w:t>
            </w:r>
          </w:p>
        </w:tc>
      </w:tr>
      <w:tr w:rsidR="005B4631" w:rsidRPr="008A4492" w:rsidTr="00AF757F">
        <w:trPr>
          <w:trHeight w:val="265"/>
        </w:trPr>
        <w:tc>
          <w:tcPr>
            <w:tcW w:w="3354" w:type="dxa"/>
            <w:shd w:val="clear" w:color="auto" w:fill="auto"/>
          </w:tcPr>
          <w:p w:rsidR="005B4631" w:rsidRPr="008A4492" w:rsidRDefault="005B4631" w:rsidP="00AF757F">
            <w:pPr>
              <w:pStyle w:val="F2-ZkladnText"/>
              <w:jc w:val="center"/>
              <w:rPr>
                <w:rFonts w:ascii="Arial Narrow" w:eastAsia="Calibri" w:hAnsi="Arial Narrow"/>
                <w:b/>
                <w:sz w:val="22"/>
                <w:szCs w:val="22"/>
              </w:rPr>
            </w:pPr>
            <w:r w:rsidRPr="008A4492">
              <w:rPr>
                <w:rFonts w:ascii="Arial Narrow" w:eastAsia="Calibri" w:hAnsi="Arial Narrow"/>
                <w:b/>
                <w:sz w:val="22"/>
                <w:szCs w:val="22"/>
              </w:rPr>
              <w:t>Schválené dňa:</w:t>
            </w:r>
          </w:p>
        </w:tc>
        <w:tc>
          <w:tcPr>
            <w:tcW w:w="6119" w:type="dxa"/>
            <w:shd w:val="clear" w:color="auto" w:fill="auto"/>
          </w:tcPr>
          <w:p w:rsidR="005B4631" w:rsidRPr="008A4492" w:rsidRDefault="001E53F1" w:rsidP="00AF757F">
            <w:pPr>
              <w:pStyle w:val="F2-ZkladnText"/>
              <w:jc w:val="center"/>
              <w:rPr>
                <w:rFonts w:ascii="Arial Narrow" w:eastAsia="Calibri" w:hAnsi="Arial Narrow"/>
                <w:b/>
                <w:sz w:val="22"/>
                <w:szCs w:val="22"/>
              </w:rPr>
            </w:pPr>
            <w:r>
              <w:rPr>
                <w:rFonts w:ascii="Arial Narrow" w:eastAsia="Calibri" w:hAnsi="Arial Narrow"/>
                <w:b/>
                <w:sz w:val="22"/>
                <w:szCs w:val="22"/>
              </w:rPr>
              <w:t>23.11.2017</w:t>
            </w:r>
          </w:p>
        </w:tc>
      </w:tr>
      <w:tr w:rsidR="005B4631" w:rsidRPr="008A4492" w:rsidTr="00AF757F">
        <w:trPr>
          <w:trHeight w:val="282"/>
        </w:trPr>
        <w:tc>
          <w:tcPr>
            <w:tcW w:w="3354" w:type="dxa"/>
            <w:shd w:val="clear" w:color="auto" w:fill="auto"/>
          </w:tcPr>
          <w:p w:rsidR="005B4631" w:rsidRPr="008A4492" w:rsidRDefault="005B4631" w:rsidP="00AF757F">
            <w:pPr>
              <w:pStyle w:val="F2-ZkladnText"/>
              <w:jc w:val="center"/>
              <w:rPr>
                <w:rFonts w:ascii="Arial Narrow" w:eastAsia="Calibri" w:hAnsi="Arial Narrow"/>
                <w:b/>
                <w:sz w:val="22"/>
                <w:szCs w:val="22"/>
              </w:rPr>
            </w:pPr>
            <w:r w:rsidRPr="008A4492">
              <w:rPr>
                <w:rFonts w:ascii="Arial Narrow" w:eastAsia="Calibri" w:hAnsi="Arial Narrow"/>
                <w:b/>
                <w:sz w:val="22"/>
                <w:szCs w:val="22"/>
              </w:rPr>
              <w:t>Všeobecné záväzné nariadenie:</w:t>
            </w:r>
          </w:p>
        </w:tc>
        <w:tc>
          <w:tcPr>
            <w:tcW w:w="6119" w:type="dxa"/>
            <w:shd w:val="clear" w:color="auto" w:fill="auto"/>
          </w:tcPr>
          <w:p w:rsidR="005B4631" w:rsidRPr="008A4492" w:rsidRDefault="005B4631" w:rsidP="00AF757F">
            <w:pPr>
              <w:pStyle w:val="F2-ZkladnText"/>
              <w:jc w:val="center"/>
              <w:rPr>
                <w:rFonts w:ascii="Arial Narrow" w:eastAsia="Calibri" w:hAnsi="Arial Narrow"/>
                <w:b/>
                <w:sz w:val="22"/>
                <w:szCs w:val="22"/>
              </w:rPr>
            </w:pPr>
            <w:r>
              <w:rPr>
                <w:rFonts w:ascii="Arial Narrow" w:eastAsia="Calibri" w:hAnsi="Arial Narrow"/>
                <w:b/>
                <w:sz w:val="22"/>
                <w:szCs w:val="22"/>
              </w:rPr>
              <w:t xml:space="preserve">2/2017 </w:t>
            </w:r>
          </w:p>
        </w:tc>
      </w:tr>
    </w:tbl>
    <w:p w:rsidR="005B4631" w:rsidRDefault="005B4631" w:rsidP="005B4631">
      <w:pPr>
        <w:spacing w:before="100" w:after="100" w:line="276" w:lineRule="auto"/>
        <w:jc w:val="both"/>
        <w:rPr>
          <w:sz w:val="22"/>
          <w:szCs w:val="22"/>
        </w:rPr>
      </w:pPr>
    </w:p>
    <w:p w:rsidR="005B4631" w:rsidRDefault="005B4631" w:rsidP="005B4631">
      <w:pPr>
        <w:pStyle w:val="Normal-Bold"/>
      </w:pPr>
      <w:r>
        <w:br w:type="page"/>
      </w:r>
      <w:r>
        <w:lastRenderedPageBreak/>
        <w:t>Obsah</w:t>
      </w:r>
    </w:p>
    <w:p w:rsidR="005B4631" w:rsidRDefault="005B4631" w:rsidP="005B4631">
      <w:pPr>
        <w:pStyle w:val="Obsah1"/>
        <w:tabs>
          <w:tab w:val="left" w:pos="540"/>
          <w:tab w:val="right" w:leader="dot" w:pos="9732"/>
        </w:tabs>
        <w:rPr>
          <w:b w:val="0"/>
          <w:noProof/>
          <w:color w:val="auto"/>
          <w:sz w:val="24"/>
          <w:szCs w:val="24"/>
        </w:rPr>
      </w:pPr>
      <w:r w:rsidRPr="00D966B0">
        <w:rPr>
          <w:rFonts w:ascii="Arial" w:hAnsi="Arial" w:cs="Arial"/>
          <w:b w:val="0"/>
        </w:rPr>
        <w:fldChar w:fldCharType="begin"/>
      </w:r>
      <w:r w:rsidRPr="00D966B0">
        <w:rPr>
          <w:rFonts w:ascii="Arial" w:hAnsi="Arial" w:cs="Arial"/>
          <w:b w:val="0"/>
        </w:rPr>
        <w:instrText xml:space="preserve"> TOC \o "1-3" \h \z \u </w:instrText>
      </w:r>
      <w:r w:rsidRPr="00D966B0">
        <w:rPr>
          <w:rFonts w:ascii="Arial" w:hAnsi="Arial" w:cs="Arial"/>
          <w:b w:val="0"/>
        </w:rPr>
        <w:fldChar w:fldCharType="separate"/>
      </w:r>
      <w:hyperlink w:anchor="_Toc416953771" w:history="1">
        <w:r w:rsidRPr="007D7C56">
          <w:rPr>
            <w:rStyle w:val="Hypertextovprepojenie"/>
            <w:noProof/>
          </w:rPr>
          <w:t>1.</w:t>
        </w:r>
        <w:r>
          <w:rPr>
            <w:b w:val="0"/>
            <w:noProof/>
            <w:color w:val="auto"/>
            <w:sz w:val="24"/>
            <w:szCs w:val="24"/>
          </w:rPr>
          <w:tab/>
        </w:r>
        <w:r w:rsidRPr="007D7C56">
          <w:rPr>
            <w:rStyle w:val="Hypertextovprepojenie"/>
            <w:noProof/>
          </w:rPr>
          <w:t>Úvod</w:t>
        </w:r>
        <w:r>
          <w:rPr>
            <w:noProof/>
            <w:webHidden/>
          </w:rPr>
          <w:tab/>
        </w:r>
        <w:r>
          <w:rPr>
            <w:noProof/>
            <w:webHidden/>
          </w:rPr>
          <w:fldChar w:fldCharType="begin"/>
        </w:r>
        <w:r>
          <w:rPr>
            <w:noProof/>
            <w:webHidden/>
          </w:rPr>
          <w:instrText xml:space="preserve"> PAGEREF _Toc416953771 \h </w:instrText>
        </w:r>
        <w:r>
          <w:rPr>
            <w:noProof/>
            <w:webHidden/>
          </w:rPr>
        </w:r>
        <w:r>
          <w:rPr>
            <w:noProof/>
            <w:webHidden/>
          </w:rPr>
          <w:fldChar w:fldCharType="separate"/>
        </w:r>
        <w:r>
          <w:rPr>
            <w:noProof/>
            <w:webHidden/>
          </w:rPr>
          <w:t>4</w:t>
        </w:r>
        <w:r>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2" w:history="1">
        <w:r w:rsidR="005B4631" w:rsidRPr="007D7C56">
          <w:rPr>
            <w:rStyle w:val="Hypertextovprepojenie"/>
            <w:noProof/>
          </w:rPr>
          <w:t>1.1</w:t>
        </w:r>
        <w:r w:rsidR="005B4631">
          <w:rPr>
            <w:b w:val="0"/>
            <w:noProof/>
            <w:color w:val="auto"/>
          </w:rPr>
          <w:tab/>
        </w:r>
        <w:r w:rsidR="005B4631" w:rsidRPr="007D7C56">
          <w:rPr>
            <w:rStyle w:val="Hypertextovprepojenie"/>
            <w:noProof/>
          </w:rPr>
          <w:t>Pojmy a skratky</w:t>
        </w:r>
        <w:r w:rsidR="005B4631">
          <w:rPr>
            <w:noProof/>
            <w:webHidden/>
          </w:rPr>
          <w:tab/>
        </w:r>
        <w:r w:rsidR="005B4631">
          <w:rPr>
            <w:noProof/>
            <w:webHidden/>
          </w:rPr>
          <w:fldChar w:fldCharType="begin"/>
        </w:r>
        <w:r w:rsidR="005B4631">
          <w:rPr>
            <w:noProof/>
            <w:webHidden/>
          </w:rPr>
          <w:instrText xml:space="preserve"> PAGEREF _Toc416953772 \h </w:instrText>
        </w:r>
        <w:r w:rsidR="005B4631">
          <w:rPr>
            <w:noProof/>
            <w:webHidden/>
          </w:rPr>
        </w:r>
        <w:r w:rsidR="005B4631">
          <w:rPr>
            <w:noProof/>
            <w:webHidden/>
          </w:rPr>
          <w:fldChar w:fldCharType="separate"/>
        </w:r>
        <w:r w:rsidR="005B4631">
          <w:rPr>
            <w:noProof/>
            <w:webHidden/>
          </w:rPr>
          <w:t>4</w:t>
        </w:r>
        <w:r w:rsidR="005B4631">
          <w:rPr>
            <w:noProof/>
            <w:webHidden/>
          </w:rPr>
          <w:fldChar w:fldCharType="end"/>
        </w:r>
      </w:hyperlink>
    </w:p>
    <w:p w:rsidR="005B4631" w:rsidRDefault="000D7623" w:rsidP="005B4631">
      <w:pPr>
        <w:pStyle w:val="Obsah1"/>
        <w:tabs>
          <w:tab w:val="left" w:pos="540"/>
          <w:tab w:val="right" w:leader="dot" w:pos="9732"/>
        </w:tabs>
        <w:rPr>
          <w:b w:val="0"/>
          <w:noProof/>
          <w:color w:val="auto"/>
          <w:sz w:val="24"/>
          <w:szCs w:val="24"/>
        </w:rPr>
      </w:pPr>
      <w:hyperlink w:anchor="_Toc416953773" w:history="1">
        <w:r w:rsidR="005B4631" w:rsidRPr="007D7C56">
          <w:rPr>
            <w:rStyle w:val="Hypertextovprepojenie"/>
            <w:noProof/>
          </w:rPr>
          <w:t>2.</w:t>
        </w:r>
        <w:r w:rsidR="005B4631">
          <w:rPr>
            <w:b w:val="0"/>
            <w:noProof/>
            <w:color w:val="auto"/>
            <w:sz w:val="24"/>
            <w:szCs w:val="24"/>
          </w:rPr>
          <w:tab/>
        </w:r>
        <w:r w:rsidR="005B4631" w:rsidRPr="007D7C56">
          <w:rPr>
            <w:rStyle w:val="Hypertextovprepojenie"/>
            <w:noProof/>
          </w:rPr>
          <w:t>Bezpečnostná politika prevádzkarne IOM</w:t>
        </w:r>
        <w:r w:rsidR="005B4631">
          <w:rPr>
            <w:noProof/>
            <w:webHidden/>
          </w:rPr>
          <w:tab/>
        </w:r>
        <w:r w:rsidR="005B4631">
          <w:rPr>
            <w:noProof/>
            <w:webHidden/>
          </w:rPr>
          <w:fldChar w:fldCharType="begin"/>
        </w:r>
        <w:r w:rsidR="005B4631">
          <w:rPr>
            <w:noProof/>
            <w:webHidden/>
          </w:rPr>
          <w:instrText xml:space="preserve"> PAGEREF _Toc416953773 \h </w:instrText>
        </w:r>
        <w:r w:rsidR="005B4631">
          <w:rPr>
            <w:noProof/>
            <w:webHidden/>
          </w:rPr>
        </w:r>
        <w:r w:rsidR="005B4631">
          <w:rPr>
            <w:noProof/>
            <w:webHidden/>
          </w:rPr>
          <w:fldChar w:fldCharType="separate"/>
        </w:r>
        <w:r w:rsidR="005B4631">
          <w:rPr>
            <w:noProof/>
            <w:webHidden/>
          </w:rPr>
          <w:t>5</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4" w:history="1">
        <w:r w:rsidR="005B4631" w:rsidRPr="007D7C56">
          <w:rPr>
            <w:rStyle w:val="Hypertextovprepojenie"/>
            <w:noProof/>
          </w:rPr>
          <w:t>2.1</w:t>
        </w:r>
        <w:r w:rsidR="005B4631">
          <w:rPr>
            <w:b w:val="0"/>
            <w:noProof/>
            <w:color w:val="auto"/>
          </w:rPr>
          <w:tab/>
        </w:r>
        <w:r w:rsidR="005B4631" w:rsidRPr="007D7C56">
          <w:rPr>
            <w:rStyle w:val="Hypertextovprepojenie"/>
            <w:noProof/>
          </w:rPr>
          <w:t>Bezpečnostné ciele povinnej osoby</w:t>
        </w:r>
        <w:r w:rsidR="005B4631">
          <w:rPr>
            <w:noProof/>
            <w:webHidden/>
          </w:rPr>
          <w:tab/>
        </w:r>
        <w:r w:rsidR="005B4631">
          <w:rPr>
            <w:noProof/>
            <w:webHidden/>
          </w:rPr>
          <w:fldChar w:fldCharType="begin"/>
        </w:r>
        <w:r w:rsidR="005B4631">
          <w:rPr>
            <w:noProof/>
            <w:webHidden/>
          </w:rPr>
          <w:instrText xml:space="preserve"> PAGEREF _Toc416953774 \h </w:instrText>
        </w:r>
        <w:r w:rsidR="005B4631">
          <w:rPr>
            <w:noProof/>
            <w:webHidden/>
          </w:rPr>
        </w:r>
        <w:r w:rsidR="005B4631">
          <w:rPr>
            <w:noProof/>
            <w:webHidden/>
          </w:rPr>
          <w:fldChar w:fldCharType="separate"/>
        </w:r>
        <w:r w:rsidR="005B4631">
          <w:rPr>
            <w:noProof/>
            <w:webHidden/>
          </w:rPr>
          <w:t>5</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5" w:history="1">
        <w:r w:rsidR="005B4631" w:rsidRPr="007D7C56">
          <w:rPr>
            <w:rStyle w:val="Hypertextovprepojenie"/>
            <w:noProof/>
          </w:rPr>
          <w:t>2.2</w:t>
        </w:r>
        <w:r w:rsidR="005B4631">
          <w:rPr>
            <w:b w:val="0"/>
            <w:noProof/>
            <w:color w:val="auto"/>
          </w:rPr>
          <w:tab/>
        </w:r>
        <w:r w:rsidR="005B4631" w:rsidRPr="007D7C56">
          <w:rPr>
            <w:rStyle w:val="Hypertextovprepojenie"/>
            <w:noProof/>
          </w:rPr>
          <w:t>Spôsoby vyhodnocovania bezpečnostných cieľov</w:t>
        </w:r>
        <w:r w:rsidR="005B4631">
          <w:rPr>
            <w:noProof/>
            <w:webHidden/>
          </w:rPr>
          <w:tab/>
        </w:r>
        <w:r w:rsidR="005B4631">
          <w:rPr>
            <w:noProof/>
            <w:webHidden/>
          </w:rPr>
          <w:fldChar w:fldCharType="begin"/>
        </w:r>
        <w:r w:rsidR="005B4631">
          <w:rPr>
            <w:noProof/>
            <w:webHidden/>
          </w:rPr>
          <w:instrText xml:space="preserve"> PAGEREF _Toc416953775 \h </w:instrText>
        </w:r>
        <w:r w:rsidR="005B4631">
          <w:rPr>
            <w:noProof/>
            <w:webHidden/>
          </w:rPr>
        </w:r>
        <w:r w:rsidR="005B4631">
          <w:rPr>
            <w:noProof/>
            <w:webHidden/>
          </w:rPr>
          <w:fldChar w:fldCharType="separate"/>
        </w:r>
        <w:r w:rsidR="005B4631">
          <w:rPr>
            <w:noProof/>
            <w:webHidden/>
          </w:rPr>
          <w:t>5</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6" w:history="1">
        <w:r w:rsidR="005B4631" w:rsidRPr="007D7C56">
          <w:rPr>
            <w:rStyle w:val="Hypertextovprepojenie"/>
            <w:noProof/>
          </w:rPr>
          <w:t>2.3</w:t>
        </w:r>
        <w:r w:rsidR="005B4631">
          <w:rPr>
            <w:b w:val="0"/>
            <w:noProof/>
            <w:color w:val="auto"/>
          </w:rPr>
          <w:tab/>
        </w:r>
        <w:r w:rsidR="005B4631" w:rsidRPr="007D7C56">
          <w:rPr>
            <w:rStyle w:val="Hypertextovprepojenie"/>
            <w:noProof/>
          </w:rPr>
          <w:t>Úloha vedenia povinnej osoby pri zaisťovaní informačnej bezpečnosti</w:t>
        </w:r>
        <w:r w:rsidR="005B4631">
          <w:rPr>
            <w:noProof/>
            <w:webHidden/>
          </w:rPr>
          <w:tab/>
        </w:r>
        <w:r w:rsidR="005B4631">
          <w:rPr>
            <w:noProof/>
            <w:webHidden/>
          </w:rPr>
          <w:fldChar w:fldCharType="begin"/>
        </w:r>
        <w:r w:rsidR="005B4631">
          <w:rPr>
            <w:noProof/>
            <w:webHidden/>
          </w:rPr>
          <w:instrText xml:space="preserve"> PAGEREF _Toc416953776 \h </w:instrText>
        </w:r>
        <w:r w:rsidR="005B4631">
          <w:rPr>
            <w:noProof/>
            <w:webHidden/>
          </w:rPr>
        </w:r>
        <w:r w:rsidR="005B4631">
          <w:rPr>
            <w:noProof/>
            <w:webHidden/>
          </w:rPr>
          <w:fldChar w:fldCharType="separate"/>
        </w:r>
        <w:r w:rsidR="005B4631">
          <w:rPr>
            <w:noProof/>
            <w:webHidden/>
          </w:rPr>
          <w:t>5</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7" w:history="1">
        <w:r w:rsidR="005B4631" w:rsidRPr="007D7C56">
          <w:rPr>
            <w:rStyle w:val="Hypertextovprepojenie"/>
            <w:noProof/>
          </w:rPr>
          <w:t>2.4</w:t>
        </w:r>
        <w:r w:rsidR="005B4631">
          <w:rPr>
            <w:b w:val="0"/>
            <w:noProof/>
            <w:color w:val="auto"/>
          </w:rPr>
          <w:tab/>
        </w:r>
        <w:r w:rsidR="005B4631" w:rsidRPr="007D7C56">
          <w:rPr>
            <w:rStyle w:val="Hypertextovprepojenie"/>
            <w:noProof/>
          </w:rPr>
          <w:t>Všeobecné a špecifické zodpovednosti a povinnosti v oblasti informačnej bezpečnosti</w:t>
        </w:r>
        <w:r w:rsidR="005B4631">
          <w:rPr>
            <w:noProof/>
            <w:webHidden/>
          </w:rPr>
          <w:tab/>
        </w:r>
        <w:r w:rsidR="005B4631">
          <w:rPr>
            <w:noProof/>
            <w:webHidden/>
          </w:rPr>
          <w:fldChar w:fldCharType="begin"/>
        </w:r>
        <w:r w:rsidR="005B4631">
          <w:rPr>
            <w:noProof/>
            <w:webHidden/>
          </w:rPr>
          <w:instrText xml:space="preserve"> PAGEREF _Toc416953777 \h </w:instrText>
        </w:r>
        <w:r w:rsidR="005B4631">
          <w:rPr>
            <w:noProof/>
            <w:webHidden/>
          </w:rPr>
        </w:r>
        <w:r w:rsidR="005B4631">
          <w:rPr>
            <w:noProof/>
            <w:webHidden/>
          </w:rPr>
          <w:fldChar w:fldCharType="separate"/>
        </w:r>
        <w:r w:rsidR="005B4631">
          <w:rPr>
            <w:noProof/>
            <w:webHidden/>
          </w:rPr>
          <w:t>6</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8" w:history="1">
        <w:r w:rsidR="005B4631" w:rsidRPr="007D7C56">
          <w:rPr>
            <w:rStyle w:val="Hypertextovprepojenie"/>
            <w:noProof/>
          </w:rPr>
          <w:t>2.5</w:t>
        </w:r>
        <w:r w:rsidR="005B4631">
          <w:rPr>
            <w:b w:val="0"/>
            <w:noProof/>
            <w:color w:val="auto"/>
          </w:rPr>
          <w:tab/>
        </w:r>
        <w:r w:rsidR="005B4631" w:rsidRPr="007D7C56">
          <w:rPr>
            <w:rStyle w:val="Hypertextovprepojenie"/>
            <w:noProof/>
          </w:rPr>
          <w:t>Povinnosť zaistenia nenarušenia informačnej bezpečnosti povinnej osoby</w:t>
        </w:r>
        <w:r w:rsidR="005B4631">
          <w:rPr>
            <w:noProof/>
            <w:webHidden/>
          </w:rPr>
          <w:tab/>
        </w:r>
        <w:r w:rsidR="005B4631">
          <w:rPr>
            <w:noProof/>
            <w:webHidden/>
          </w:rPr>
          <w:fldChar w:fldCharType="begin"/>
        </w:r>
        <w:r w:rsidR="005B4631">
          <w:rPr>
            <w:noProof/>
            <w:webHidden/>
          </w:rPr>
          <w:instrText xml:space="preserve"> PAGEREF _Toc416953778 \h </w:instrText>
        </w:r>
        <w:r w:rsidR="005B4631">
          <w:rPr>
            <w:noProof/>
            <w:webHidden/>
          </w:rPr>
        </w:r>
        <w:r w:rsidR="005B4631">
          <w:rPr>
            <w:noProof/>
            <w:webHidden/>
          </w:rPr>
          <w:fldChar w:fldCharType="separate"/>
        </w:r>
        <w:r w:rsidR="005B4631">
          <w:rPr>
            <w:noProof/>
            <w:webHidden/>
          </w:rPr>
          <w:t>6</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79" w:history="1">
        <w:r w:rsidR="005B4631" w:rsidRPr="007D7C56">
          <w:rPr>
            <w:rStyle w:val="Hypertextovprepojenie"/>
            <w:noProof/>
          </w:rPr>
          <w:t>2.6</w:t>
        </w:r>
        <w:r w:rsidR="005B4631">
          <w:rPr>
            <w:b w:val="0"/>
            <w:noProof/>
            <w:color w:val="auto"/>
          </w:rPr>
          <w:tab/>
        </w:r>
        <w:r w:rsidR="005B4631" w:rsidRPr="007D7C56">
          <w:rPr>
            <w:rStyle w:val="Hypertextovprepojenie"/>
            <w:noProof/>
          </w:rPr>
          <w:t>Súlad bezpečnostnej politiky so všeobecne záväznými právnymi predpismi, vnútornými predpismi a zmluvnými záväzkami povinnej osoby</w:t>
        </w:r>
        <w:r w:rsidR="005B4631">
          <w:rPr>
            <w:noProof/>
            <w:webHidden/>
          </w:rPr>
          <w:tab/>
        </w:r>
        <w:r w:rsidR="005B4631">
          <w:rPr>
            <w:noProof/>
            <w:webHidden/>
          </w:rPr>
          <w:fldChar w:fldCharType="begin"/>
        </w:r>
        <w:r w:rsidR="005B4631">
          <w:rPr>
            <w:noProof/>
            <w:webHidden/>
          </w:rPr>
          <w:instrText xml:space="preserve"> PAGEREF _Toc416953779 \h </w:instrText>
        </w:r>
        <w:r w:rsidR="005B4631">
          <w:rPr>
            <w:noProof/>
            <w:webHidden/>
          </w:rPr>
        </w:r>
        <w:r w:rsidR="005B4631">
          <w:rPr>
            <w:noProof/>
            <w:webHidden/>
          </w:rPr>
          <w:fldChar w:fldCharType="separate"/>
        </w:r>
        <w:r w:rsidR="005B4631">
          <w:rPr>
            <w:noProof/>
            <w:webHidden/>
          </w:rPr>
          <w:t>6</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0" w:history="1">
        <w:r w:rsidR="005B4631" w:rsidRPr="007D7C56">
          <w:rPr>
            <w:rStyle w:val="Hypertextovprepojenie"/>
            <w:noProof/>
          </w:rPr>
          <w:t>2.7</w:t>
        </w:r>
        <w:r w:rsidR="005B4631">
          <w:rPr>
            <w:b w:val="0"/>
            <w:noProof/>
            <w:color w:val="auto"/>
          </w:rPr>
          <w:tab/>
        </w:r>
        <w:r w:rsidR="005B4631" w:rsidRPr="007D7C56">
          <w:rPr>
            <w:rStyle w:val="Hypertextovprepojenie"/>
            <w:noProof/>
          </w:rPr>
          <w:t>Požiadavky na IS IOM, spôsob vedenia a aktualizácie dokumentácie o IS IOM</w:t>
        </w:r>
        <w:r w:rsidR="005B4631">
          <w:rPr>
            <w:noProof/>
            <w:webHidden/>
          </w:rPr>
          <w:tab/>
        </w:r>
        <w:r w:rsidR="005B4631">
          <w:rPr>
            <w:noProof/>
            <w:webHidden/>
          </w:rPr>
          <w:fldChar w:fldCharType="begin"/>
        </w:r>
        <w:r w:rsidR="005B4631">
          <w:rPr>
            <w:noProof/>
            <w:webHidden/>
          </w:rPr>
          <w:instrText xml:space="preserve"> PAGEREF _Toc416953780 \h </w:instrText>
        </w:r>
        <w:r w:rsidR="005B4631">
          <w:rPr>
            <w:noProof/>
            <w:webHidden/>
          </w:rPr>
        </w:r>
        <w:r w:rsidR="005B4631">
          <w:rPr>
            <w:noProof/>
            <w:webHidden/>
          </w:rPr>
          <w:fldChar w:fldCharType="separate"/>
        </w:r>
        <w:r w:rsidR="005B4631">
          <w:rPr>
            <w:noProof/>
            <w:webHidden/>
          </w:rPr>
          <w:t>7</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1" w:history="1">
        <w:r w:rsidR="005B4631" w:rsidRPr="007D7C56">
          <w:rPr>
            <w:rStyle w:val="Hypertextovprepojenie"/>
            <w:noProof/>
          </w:rPr>
          <w:t>2.8</w:t>
        </w:r>
        <w:r w:rsidR="005B4631">
          <w:rPr>
            <w:b w:val="0"/>
            <w:noProof/>
            <w:color w:val="auto"/>
          </w:rPr>
          <w:tab/>
        </w:r>
        <w:r w:rsidR="005B4631" w:rsidRPr="007D7C56">
          <w:rPr>
            <w:rStyle w:val="Hypertextovprepojenie"/>
            <w:noProof/>
          </w:rPr>
          <w:t>Rozsah a úroveň ochrany IS IOM vrátane hodnotenia slabých miest a ohrození</w:t>
        </w:r>
        <w:r w:rsidR="005B4631">
          <w:rPr>
            <w:noProof/>
            <w:webHidden/>
          </w:rPr>
          <w:tab/>
        </w:r>
        <w:r w:rsidR="005B4631">
          <w:rPr>
            <w:noProof/>
            <w:webHidden/>
          </w:rPr>
          <w:fldChar w:fldCharType="begin"/>
        </w:r>
        <w:r w:rsidR="005B4631">
          <w:rPr>
            <w:noProof/>
            <w:webHidden/>
          </w:rPr>
          <w:instrText xml:space="preserve"> PAGEREF _Toc416953781 \h </w:instrText>
        </w:r>
        <w:r w:rsidR="005B4631">
          <w:rPr>
            <w:noProof/>
            <w:webHidden/>
          </w:rPr>
        </w:r>
        <w:r w:rsidR="005B4631">
          <w:rPr>
            <w:noProof/>
            <w:webHidden/>
          </w:rPr>
          <w:fldChar w:fldCharType="separate"/>
        </w:r>
        <w:r w:rsidR="005B4631">
          <w:rPr>
            <w:noProof/>
            <w:webHidden/>
          </w:rPr>
          <w:t>7</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2" w:history="1">
        <w:r w:rsidR="005B4631" w:rsidRPr="007D7C56">
          <w:rPr>
            <w:rStyle w:val="Hypertextovprepojenie"/>
            <w:noProof/>
          </w:rPr>
          <w:t>2.9</w:t>
        </w:r>
        <w:r w:rsidR="005B4631">
          <w:rPr>
            <w:b w:val="0"/>
            <w:noProof/>
            <w:color w:val="auto"/>
          </w:rPr>
          <w:tab/>
        </w:r>
        <w:r w:rsidR="005B4631" w:rsidRPr="007D7C56">
          <w:rPr>
            <w:rStyle w:val="Hypertextovprepojenie"/>
            <w:noProof/>
          </w:rPr>
          <w:t>Rámec pre manažment rizík v súvislosti s aktívami, od ktorých závisí činnosť IS IOM</w:t>
        </w:r>
        <w:r w:rsidR="005B4631">
          <w:rPr>
            <w:noProof/>
            <w:webHidden/>
          </w:rPr>
          <w:tab/>
        </w:r>
        <w:r w:rsidR="005B4631">
          <w:rPr>
            <w:noProof/>
            <w:webHidden/>
          </w:rPr>
          <w:fldChar w:fldCharType="begin"/>
        </w:r>
        <w:r w:rsidR="005B4631">
          <w:rPr>
            <w:noProof/>
            <w:webHidden/>
          </w:rPr>
          <w:instrText xml:space="preserve"> PAGEREF _Toc416953782 \h </w:instrText>
        </w:r>
        <w:r w:rsidR="005B4631">
          <w:rPr>
            <w:noProof/>
            <w:webHidden/>
          </w:rPr>
        </w:r>
        <w:r w:rsidR="005B4631">
          <w:rPr>
            <w:noProof/>
            <w:webHidden/>
          </w:rPr>
          <w:fldChar w:fldCharType="separate"/>
        </w:r>
        <w:r w:rsidR="005B4631">
          <w:rPr>
            <w:noProof/>
            <w:webHidden/>
          </w:rPr>
          <w:t>7</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3" w:history="1">
        <w:r w:rsidR="005B4631" w:rsidRPr="007D7C56">
          <w:rPr>
            <w:rStyle w:val="Hypertextovprepojenie"/>
            <w:noProof/>
          </w:rPr>
          <w:t>2.10</w:t>
        </w:r>
        <w:r w:rsidR="005B4631">
          <w:rPr>
            <w:b w:val="0"/>
            <w:noProof/>
            <w:color w:val="auto"/>
          </w:rPr>
          <w:tab/>
        </w:r>
        <w:r w:rsidR="005B4631" w:rsidRPr="007D7C56">
          <w:rPr>
            <w:rStyle w:val="Hypertextovprepojenie"/>
            <w:noProof/>
          </w:rPr>
          <w:t>Rozsah a periodicita auditu bezpečnosti IS IOM, určenie udalostí v IS IOM, o ktorých sa vytvára záznam auditu</w:t>
        </w:r>
        <w:r w:rsidR="005B4631">
          <w:rPr>
            <w:noProof/>
            <w:webHidden/>
          </w:rPr>
          <w:tab/>
        </w:r>
        <w:r w:rsidR="005B4631">
          <w:rPr>
            <w:noProof/>
            <w:webHidden/>
          </w:rPr>
          <w:fldChar w:fldCharType="begin"/>
        </w:r>
        <w:r w:rsidR="005B4631">
          <w:rPr>
            <w:noProof/>
            <w:webHidden/>
          </w:rPr>
          <w:instrText xml:space="preserve"> PAGEREF _Toc416953783 \h </w:instrText>
        </w:r>
        <w:r w:rsidR="005B4631">
          <w:rPr>
            <w:noProof/>
            <w:webHidden/>
          </w:rPr>
        </w:r>
        <w:r w:rsidR="005B4631">
          <w:rPr>
            <w:noProof/>
            <w:webHidden/>
          </w:rPr>
          <w:fldChar w:fldCharType="separate"/>
        </w:r>
        <w:r w:rsidR="005B4631">
          <w:rPr>
            <w:noProof/>
            <w:webHidden/>
          </w:rPr>
          <w:t>8</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4" w:history="1">
        <w:r w:rsidR="005B4631" w:rsidRPr="007D7C56">
          <w:rPr>
            <w:rStyle w:val="Hypertextovprepojenie"/>
            <w:noProof/>
          </w:rPr>
          <w:t>2.11</w:t>
        </w:r>
        <w:r w:rsidR="005B4631">
          <w:rPr>
            <w:b w:val="0"/>
            <w:noProof/>
            <w:color w:val="auto"/>
          </w:rPr>
          <w:tab/>
        </w:r>
        <w:r w:rsidR="005B4631" w:rsidRPr="007D7C56">
          <w:rPr>
            <w:rStyle w:val="Hypertextovprepojenie"/>
            <w:noProof/>
          </w:rPr>
          <w:t>Smernica pre zálohovanie, určenie skupín údajov a periodicity ich zálohovania</w:t>
        </w:r>
        <w:r w:rsidR="005B4631">
          <w:rPr>
            <w:noProof/>
            <w:webHidden/>
          </w:rPr>
          <w:tab/>
        </w:r>
        <w:r w:rsidR="005B4631">
          <w:rPr>
            <w:noProof/>
            <w:webHidden/>
          </w:rPr>
          <w:fldChar w:fldCharType="begin"/>
        </w:r>
        <w:r w:rsidR="005B4631">
          <w:rPr>
            <w:noProof/>
            <w:webHidden/>
          </w:rPr>
          <w:instrText xml:space="preserve"> PAGEREF _Toc416953784 \h </w:instrText>
        </w:r>
        <w:r w:rsidR="005B4631">
          <w:rPr>
            <w:noProof/>
            <w:webHidden/>
          </w:rPr>
        </w:r>
        <w:r w:rsidR="005B4631">
          <w:rPr>
            <w:noProof/>
            <w:webHidden/>
          </w:rPr>
          <w:fldChar w:fldCharType="separate"/>
        </w:r>
        <w:r w:rsidR="005B4631">
          <w:rPr>
            <w:noProof/>
            <w:webHidden/>
          </w:rPr>
          <w:t>8</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5" w:history="1">
        <w:r w:rsidR="005B4631" w:rsidRPr="007D7C56">
          <w:rPr>
            <w:rStyle w:val="Hypertextovprepojenie"/>
            <w:noProof/>
          </w:rPr>
          <w:t>2.12</w:t>
        </w:r>
        <w:r w:rsidR="005B4631">
          <w:rPr>
            <w:b w:val="0"/>
            <w:noProof/>
            <w:color w:val="auto"/>
          </w:rPr>
          <w:tab/>
        </w:r>
        <w:r w:rsidR="005B4631" w:rsidRPr="007D7C56">
          <w:rPr>
            <w:rStyle w:val="Hypertextovprepojenie"/>
            <w:noProof/>
          </w:rPr>
          <w:t>Periodicita monitorovania bezpečnosti a aktualizácia softvéru</w:t>
        </w:r>
        <w:r w:rsidR="005B4631">
          <w:rPr>
            <w:noProof/>
            <w:webHidden/>
          </w:rPr>
          <w:tab/>
        </w:r>
        <w:r w:rsidR="005B4631">
          <w:rPr>
            <w:noProof/>
            <w:webHidden/>
          </w:rPr>
          <w:fldChar w:fldCharType="begin"/>
        </w:r>
        <w:r w:rsidR="005B4631">
          <w:rPr>
            <w:noProof/>
            <w:webHidden/>
          </w:rPr>
          <w:instrText xml:space="preserve"> PAGEREF _Toc416953785 \h </w:instrText>
        </w:r>
        <w:r w:rsidR="005B4631">
          <w:rPr>
            <w:noProof/>
            <w:webHidden/>
          </w:rPr>
        </w:r>
        <w:r w:rsidR="005B4631">
          <w:rPr>
            <w:noProof/>
            <w:webHidden/>
          </w:rPr>
          <w:fldChar w:fldCharType="separate"/>
        </w:r>
        <w:r w:rsidR="005B4631">
          <w:rPr>
            <w:noProof/>
            <w:webHidden/>
          </w:rPr>
          <w:t>8</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6" w:history="1">
        <w:r w:rsidR="005B4631" w:rsidRPr="007D7C56">
          <w:rPr>
            <w:rStyle w:val="Hypertextovprepojenie"/>
            <w:noProof/>
          </w:rPr>
          <w:t>2.13</w:t>
        </w:r>
        <w:r w:rsidR="005B4631">
          <w:rPr>
            <w:b w:val="0"/>
            <w:noProof/>
            <w:color w:val="auto"/>
          </w:rPr>
          <w:tab/>
        </w:r>
        <w:r w:rsidR="005B4631" w:rsidRPr="007D7C56">
          <w:rPr>
            <w:rStyle w:val="Hypertextovprepojenie"/>
            <w:noProof/>
          </w:rPr>
          <w:t>Zoznam dokumentov potrebných na zaistenie informačnej bezpečnosti</w:t>
        </w:r>
        <w:r w:rsidR="005B4631">
          <w:rPr>
            <w:noProof/>
            <w:webHidden/>
          </w:rPr>
          <w:tab/>
        </w:r>
        <w:r w:rsidR="005B4631">
          <w:rPr>
            <w:noProof/>
            <w:webHidden/>
          </w:rPr>
          <w:fldChar w:fldCharType="begin"/>
        </w:r>
        <w:r w:rsidR="005B4631">
          <w:rPr>
            <w:noProof/>
            <w:webHidden/>
          </w:rPr>
          <w:instrText xml:space="preserve"> PAGEREF _Toc416953786 \h </w:instrText>
        </w:r>
        <w:r w:rsidR="005B4631">
          <w:rPr>
            <w:noProof/>
            <w:webHidden/>
          </w:rPr>
        </w:r>
        <w:r w:rsidR="005B4631">
          <w:rPr>
            <w:noProof/>
            <w:webHidden/>
          </w:rPr>
          <w:fldChar w:fldCharType="separate"/>
        </w:r>
        <w:r w:rsidR="005B4631">
          <w:rPr>
            <w:noProof/>
            <w:webHidden/>
          </w:rPr>
          <w:t>8</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7" w:history="1">
        <w:r w:rsidR="005B4631" w:rsidRPr="007D7C56">
          <w:rPr>
            <w:rStyle w:val="Hypertextovprepojenie"/>
            <w:noProof/>
          </w:rPr>
          <w:t>2.14</w:t>
        </w:r>
        <w:r w:rsidR="005B4631">
          <w:rPr>
            <w:b w:val="0"/>
            <w:noProof/>
            <w:color w:val="auto"/>
          </w:rPr>
          <w:tab/>
        </w:r>
        <w:r w:rsidR="005B4631" w:rsidRPr="007D7C56">
          <w:rPr>
            <w:rStyle w:val="Hypertextovprepojenie"/>
            <w:noProof/>
          </w:rPr>
          <w:t>Postup a periodicita revízie bezpečnostnej politiky povinnej osoby</w:t>
        </w:r>
        <w:r w:rsidR="005B4631">
          <w:rPr>
            <w:noProof/>
            <w:webHidden/>
          </w:rPr>
          <w:tab/>
        </w:r>
        <w:r w:rsidR="005B4631">
          <w:rPr>
            <w:noProof/>
            <w:webHidden/>
          </w:rPr>
          <w:fldChar w:fldCharType="begin"/>
        </w:r>
        <w:r w:rsidR="005B4631">
          <w:rPr>
            <w:noProof/>
            <w:webHidden/>
          </w:rPr>
          <w:instrText xml:space="preserve"> PAGEREF _Toc416953787 \h </w:instrText>
        </w:r>
        <w:r w:rsidR="005B4631">
          <w:rPr>
            <w:noProof/>
            <w:webHidden/>
          </w:rPr>
        </w:r>
        <w:r w:rsidR="005B4631">
          <w:rPr>
            <w:noProof/>
            <w:webHidden/>
          </w:rPr>
          <w:fldChar w:fldCharType="separate"/>
        </w:r>
        <w:r w:rsidR="005B4631">
          <w:rPr>
            <w:noProof/>
            <w:webHidden/>
          </w:rPr>
          <w:t>9</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8" w:history="1">
        <w:r w:rsidR="005B4631" w:rsidRPr="007D7C56">
          <w:rPr>
            <w:rStyle w:val="Hypertextovprepojenie"/>
            <w:noProof/>
          </w:rPr>
          <w:t>2.15</w:t>
        </w:r>
        <w:r w:rsidR="005B4631">
          <w:rPr>
            <w:b w:val="0"/>
            <w:noProof/>
            <w:color w:val="auto"/>
          </w:rPr>
          <w:tab/>
        </w:r>
        <w:r w:rsidR="005B4631" w:rsidRPr="007D7C56">
          <w:rPr>
            <w:rStyle w:val="Hypertextovprepojenie"/>
            <w:noProof/>
          </w:rPr>
          <w:t>Organizačné zabezpečenie realizácie a dodržiavania bezpečnostnej politiky IS IOM</w:t>
        </w:r>
        <w:r w:rsidR="005B4631">
          <w:rPr>
            <w:noProof/>
            <w:webHidden/>
          </w:rPr>
          <w:tab/>
        </w:r>
        <w:r w:rsidR="005B4631">
          <w:rPr>
            <w:noProof/>
            <w:webHidden/>
          </w:rPr>
          <w:fldChar w:fldCharType="begin"/>
        </w:r>
        <w:r w:rsidR="005B4631">
          <w:rPr>
            <w:noProof/>
            <w:webHidden/>
          </w:rPr>
          <w:instrText xml:space="preserve"> PAGEREF _Toc416953788 \h </w:instrText>
        </w:r>
        <w:r w:rsidR="005B4631">
          <w:rPr>
            <w:noProof/>
            <w:webHidden/>
          </w:rPr>
        </w:r>
        <w:r w:rsidR="005B4631">
          <w:rPr>
            <w:noProof/>
            <w:webHidden/>
          </w:rPr>
          <w:fldChar w:fldCharType="separate"/>
        </w:r>
        <w:r w:rsidR="005B4631">
          <w:rPr>
            <w:noProof/>
            <w:webHidden/>
          </w:rPr>
          <w:t>9</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89" w:history="1">
        <w:r w:rsidR="005B4631" w:rsidRPr="007D7C56">
          <w:rPr>
            <w:rStyle w:val="Hypertextovprepojenie"/>
            <w:noProof/>
          </w:rPr>
          <w:t>2.16</w:t>
        </w:r>
        <w:r w:rsidR="005B4631">
          <w:rPr>
            <w:b w:val="0"/>
            <w:noProof/>
            <w:color w:val="auto"/>
          </w:rPr>
          <w:tab/>
        </w:r>
        <w:r w:rsidR="005B4631" w:rsidRPr="007D7C56">
          <w:rPr>
            <w:rStyle w:val="Hypertextovprepojenie"/>
            <w:noProof/>
          </w:rPr>
          <w:t>Určenie konkrétnej zodpovednosti za jednotlivé aktíva povinnej osoby</w:t>
        </w:r>
        <w:r w:rsidR="005B4631">
          <w:rPr>
            <w:noProof/>
            <w:webHidden/>
          </w:rPr>
          <w:tab/>
        </w:r>
        <w:r w:rsidR="005B4631">
          <w:rPr>
            <w:noProof/>
            <w:webHidden/>
          </w:rPr>
          <w:fldChar w:fldCharType="begin"/>
        </w:r>
        <w:r w:rsidR="005B4631">
          <w:rPr>
            <w:noProof/>
            <w:webHidden/>
          </w:rPr>
          <w:instrText xml:space="preserve"> PAGEREF _Toc416953789 \h </w:instrText>
        </w:r>
        <w:r w:rsidR="005B4631">
          <w:rPr>
            <w:noProof/>
            <w:webHidden/>
          </w:rPr>
        </w:r>
        <w:r w:rsidR="005B4631">
          <w:rPr>
            <w:noProof/>
            <w:webHidden/>
          </w:rPr>
          <w:fldChar w:fldCharType="separate"/>
        </w:r>
        <w:r w:rsidR="005B4631">
          <w:rPr>
            <w:noProof/>
            <w:webHidden/>
          </w:rPr>
          <w:t>9</w:t>
        </w:r>
        <w:r w:rsidR="005B4631">
          <w:rPr>
            <w:noProof/>
            <w:webHidden/>
          </w:rPr>
          <w:fldChar w:fldCharType="end"/>
        </w:r>
      </w:hyperlink>
    </w:p>
    <w:p w:rsidR="005B4631" w:rsidRDefault="000D7623" w:rsidP="005B4631">
      <w:pPr>
        <w:pStyle w:val="Obsah2"/>
        <w:tabs>
          <w:tab w:val="left" w:pos="900"/>
          <w:tab w:val="right" w:leader="dot" w:pos="9732"/>
        </w:tabs>
        <w:rPr>
          <w:b w:val="0"/>
          <w:noProof/>
          <w:color w:val="auto"/>
        </w:rPr>
      </w:pPr>
      <w:hyperlink w:anchor="_Toc416953790" w:history="1">
        <w:r w:rsidR="005B4631" w:rsidRPr="007D7C56">
          <w:rPr>
            <w:rStyle w:val="Hypertextovprepojenie"/>
            <w:noProof/>
          </w:rPr>
          <w:t>2.17</w:t>
        </w:r>
        <w:r w:rsidR="005B4631">
          <w:rPr>
            <w:b w:val="0"/>
            <w:noProof/>
            <w:color w:val="auto"/>
          </w:rPr>
          <w:tab/>
        </w:r>
        <w:r w:rsidR="005B4631" w:rsidRPr="007D7C56">
          <w:rPr>
            <w:rStyle w:val="Hypertextovprepojenie"/>
            <w:noProof/>
          </w:rPr>
          <w:t>Určenie privilegovaných používateľských rolí, určenie bezpečnostných požiadaviek na jednotlivé roly, určenie požiadaviek na nezlučiteľnosť rolí.</w:t>
        </w:r>
        <w:r w:rsidR="005B4631">
          <w:rPr>
            <w:noProof/>
            <w:webHidden/>
          </w:rPr>
          <w:tab/>
        </w:r>
        <w:r w:rsidR="005B4631">
          <w:rPr>
            <w:noProof/>
            <w:webHidden/>
          </w:rPr>
          <w:fldChar w:fldCharType="begin"/>
        </w:r>
        <w:r w:rsidR="005B4631">
          <w:rPr>
            <w:noProof/>
            <w:webHidden/>
          </w:rPr>
          <w:instrText xml:space="preserve"> PAGEREF _Toc416953790 \h </w:instrText>
        </w:r>
        <w:r w:rsidR="005B4631">
          <w:rPr>
            <w:noProof/>
            <w:webHidden/>
          </w:rPr>
        </w:r>
        <w:r w:rsidR="005B4631">
          <w:rPr>
            <w:noProof/>
            <w:webHidden/>
          </w:rPr>
          <w:fldChar w:fldCharType="separate"/>
        </w:r>
        <w:r w:rsidR="005B4631">
          <w:rPr>
            <w:noProof/>
            <w:webHidden/>
          </w:rPr>
          <w:t>9</w:t>
        </w:r>
        <w:r w:rsidR="005B4631">
          <w:rPr>
            <w:noProof/>
            <w:webHidden/>
          </w:rPr>
          <w:fldChar w:fldCharType="end"/>
        </w:r>
      </w:hyperlink>
    </w:p>
    <w:p w:rsidR="005B4631" w:rsidRDefault="005B4631" w:rsidP="005B4631">
      <w:r w:rsidRPr="00D966B0">
        <w:rPr>
          <w:b/>
        </w:rPr>
        <w:fldChar w:fldCharType="end"/>
      </w:r>
    </w:p>
    <w:p w:rsidR="005B4631" w:rsidRDefault="005B4631" w:rsidP="005B4631">
      <w:pPr>
        <w:pStyle w:val="Obsah1"/>
        <w:tabs>
          <w:tab w:val="right" w:leader="dot" w:pos="9645"/>
        </w:tabs>
        <w:rPr>
          <w:color w:val="auto"/>
        </w:rPr>
      </w:pPr>
    </w:p>
    <w:p w:rsidR="005B4631" w:rsidRDefault="005B4631" w:rsidP="005B4631">
      <w:pPr>
        <w:spacing w:before="100" w:after="100" w:line="276" w:lineRule="auto"/>
        <w:rPr>
          <w:sz w:val="22"/>
          <w:szCs w:val="22"/>
        </w:rPr>
      </w:pPr>
    </w:p>
    <w:p w:rsidR="005B4631" w:rsidRDefault="005B4631" w:rsidP="005B4631">
      <w:pPr>
        <w:spacing w:before="100" w:after="100" w:line="276" w:lineRule="auto"/>
        <w:rPr>
          <w:sz w:val="22"/>
          <w:szCs w:val="22"/>
        </w:rPr>
        <w:sectPr w:rsidR="005B4631">
          <w:headerReference w:type="default" r:id="rId13"/>
          <w:footerReference w:type="default" r:id="rId14"/>
          <w:headerReference w:type="first" r:id="rId15"/>
          <w:pgSz w:w="11902" w:h="16835"/>
          <w:pgMar w:top="1080" w:right="1080" w:bottom="1080" w:left="1080" w:header="708" w:footer="708" w:gutter="0"/>
          <w:cols w:space="708"/>
        </w:sectPr>
      </w:pPr>
    </w:p>
    <w:p w:rsidR="005B4631" w:rsidRDefault="005B4631" w:rsidP="005B4631">
      <w:pPr>
        <w:pStyle w:val="Nadpis1"/>
        <w:numPr>
          <w:ilvl w:val="0"/>
          <w:numId w:val="1"/>
        </w:numPr>
        <w:ind w:left="360" w:hanging="360"/>
      </w:pPr>
      <w:bookmarkStart w:id="1" w:name="_Toc416953771"/>
      <w:r>
        <w:lastRenderedPageBreak/>
        <w:t>Úvod</w:t>
      </w:r>
      <w:bookmarkEnd w:id="1"/>
    </w:p>
    <w:p w:rsidR="005B4631" w:rsidRDefault="005B4631" w:rsidP="005B4631"/>
    <w:p w:rsidR="005B4631" w:rsidRDefault="005B4631" w:rsidP="005B4631">
      <w:r>
        <w:t>Tento dokument upravuje riešenie bezpečnostnej politiky podľa požiadaviek výnosu MF SR č.55/2014 o štandardoch pre ISVS vo vzťahu k prevádzke pracoviska IOM.</w:t>
      </w:r>
    </w:p>
    <w:p w:rsidR="005B4631" w:rsidRDefault="005B4631" w:rsidP="005B4631"/>
    <w:p w:rsidR="005B4631" w:rsidRDefault="005B4631" w:rsidP="005B4631">
      <w:pPr>
        <w:pStyle w:val="Nadpis2"/>
        <w:numPr>
          <w:ilvl w:val="1"/>
          <w:numId w:val="1"/>
        </w:numPr>
        <w:ind w:left="360" w:hanging="360"/>
      </w:pPr>
      <w:bookmarkStart w:id="2" w:name="_Toc416953772"/>
      <w:r>
        <w:t>Pojmy a skratky</w:t>
      </w:r>
      <w:bookmarkEnd w:id="2"/>
    </w:p>
    <w:p w:rsidR="005B4631" w:rsidRDefault="005B4631" w:rsidP="005B4631"/>
    <w:p w:rsidR="005B4631" w:rsidRDefault="005B4631" w:rsidP="005B4631">
      <w:r w:rsidRPr="00AC7640">
        <w:t>V nasledujúcej tabuľke je uvedený popis skratiek používaných v rámci predkladaného dokumentu.</w:t>
      </w:r>
    </w:p>
    <w:p w:rsidR="005B4631" w:rsidRPr="00AC7640" w:rsidRDefault="005B4631" w:rsidP="005B4631">
      <w:pPr>
        <w:tabs>
          <w:tab w:val="left" w:pos="1485"/>
        </w:tabs>
      </w:pPr>
      <w: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421"/>
      </w:tblGrid>
      <w:tr w:rsidR="005B4631" w:rsidRPr="00AC7640" w:rsidTr="00AF757F">
        <w:tc>
          <w:tcPr>
            <w:tcW w:w="1368" w:type="dxa"/>
            <w:shd w:val="pct20" w:color="auto" w:fill="auto"/>
          </w:tcPr>
          <w:p w:rsidR="005B4631" w:rsidRPr="00AC7640" w:rsidRDefault="005B4631" w:rsidP="00AF757F">
            <w:pPr>
              <w:rPr>
                <w:b/>
                <w:bCs/>
              </w:rPr>
            </w:pPr>
            <w:r w:rsidRPr="00AC7640">
              <w:rPr>
                <w:b/>
                <w:bCs/>
              </w:rPr>
              <w:t>Skratka</w:t>
            </w:r>
          </w:p>
        </w:tc>
        <w:tc>
          <w:tcPr>
            <w:tcW w:w="7421" w:type="dxa"/>
            <w:shd w:val="pct20" w:color="auto" w:fill="auto"/>
          </w:tcPr>
          <w:p w:rsidR="005B4631" w:rsidRPr="00AC7640" w:rsidRDefault="005B4631" w:rsidP="00AF757F">
            <w:pPr>
              <w:rPr>
                <w:b/>
                <w:bCs/>
              </w:rPr>
            </w:pPr>
            <w:r w:rsidRPr="00AC7640">
              <w:rPr>
                <w:b/>
                <w:bCs/>
              </w:rPr>
              <w:t>Význam</w:t>
            </w:r>
          </w:p>
        </w:tc>
      </w:tr>
      <w:tr w:rsidR="005B4631" w:rsidRPr="00AC7640" w:rsidTr="00AF757F">
        <w:tc>
          <w:tcPr>
            <w:tcW w:w="1368" w:type="dxa"/>
            <w:shd w:val="pct5" w:color="auto" w:fill="auto"/>
          </w:tcPr>
          <w:p w:rsidR="005B4631" w:rsidRPr="00AC7640" w:rsidRDefault="005B4631" w:rsidP="00AF757F">
            <w:r>
              <w:t>IOM</w:t>
            </w:r>
          </w:p>
        </w:tc>
        <w:tc>
          <w:tcPr>
            <w:tcW w:w="7421" w:type="dxa"/>
            <w:shd w:val="pct5" w:color="auto" w:fill="auto"/>
          </w:tcPr>
          <w:p w:rsidR="005B4631" w:rsidRPr="00AC7640" w:rsidRDefault="005B4631" w:rsidP="00AF757F">
            <w:r>
              <w:t>Integrované obslužné miesto</w:t>
            </w:r>
          </w:p>
        </w:tc>
      </w:tr>
      <w:tr w:rsidR="005B4631" w:rsidRPr="00AC7640" w:rsidTr="00AF757F">
        <w:tc>
          <w:tcPr>
            <w:tcW w:w="1368" w:type="dxa"/>
            <w:shd w:val="pct20" w:color="auto" w:fill="auto"/>
          </w:tcPr>
          <w:p w:rsidR="005B4631" w:rsidRPr="00AC7640" w:rsidRDefault="005B4631" w:rsidP="00AF757F">
            <w:r w:rsidRPr="00AC7640">
              <w:t>IS</w:t>
            </w:r>
          </w:p>
        </w:tc>
        <w:tc>
          <w:tcPr>
            <w:tcW w:w="7421" w:type="dxa"/>
            <w:shd w:val="pct20" w:color="auto" w:fill="auto"/>
          </w:tcPr>
          <w:p w:rsidR="005B4631" w:rsidRPr="00AC7640" w:rsidRDefault="005B4631" w:rsidP="00AF757F">
            <w:r w:rsidRPr="00AC7640">
              <w:t xml:space="preserve">Informačný systém </w:t>
            </w:r>
          </w:p>
        </w:tc>
      </w:tr>
      <w:tr w:rsidR="005B4631" w:rsidRPr="00AC7640" w:rsidTr="00AF757F">
        <w:tc>
          <w:tcPr>
            <w:tcW w:w="1368" w:type="dxa"/>
            <w:shd w:val="pct5" w:color="auto" w:fill="auto"/>
          </w:tcPr>
          <w:p w:rsidR="005B4631" w:rsidRPr="00AC7640" w:rsidRDefault="005B4631" w:rsidP="00AF757F">
            <w:r>
              <w:t>IS</w:t>
            </w:r>
            <w:r w:rsidRPr="00AC7640">
              <w:t>VS</w:t>
            </w:r>
          </w:p>
        </w:tc>
        <w:tc>
          <w:tcPr>
            <w:tcW w:w="7421" w:type="dxa"/>
            <w:shd w:val="pct5" w:color="auto" w:fill="auto"/>
          </w:tcPr>
          <w:p w:rsidR="005B4631" w:rsidRPr="00AC7640" w:rsidRDefault="005B4631" w:rsidP="00AF757F">
            <w:r w:rsidRPr="00AC7640">
              <w:t>Informačný systém verejnej správy</w:t>
            </w:r>
          </w:p>
        </w:tc>
      </w:tr>
      <w:tr w:rsidR="005B4631" w:rsidRPr="00AC7640" w:rsidTr="00AF757F">
        <w:tc>
          <w:tcPr>
            <w:tcW w:w="1368" w:type="dxa"/>
            <w:shd w:val="pct20" w:color="auto" w:fill="auto"/>
          </w:tcPr>
          <w:p w:rsidR="005B4631" w:rsidRPr="00AC7640" w:rsidRDefault="005B4631" w:rsidP="00AF757F">
            <w:r w:rsidRPr="00AC7640">
              <w:t>MF SR</w:t>
            </w:r>
          </w:p>
        </w:tc>
        <w:tc>
          <w:tcPr>
            <w:tcW w:w="7421" w:type="dxa"/>
            <w:shd w:val="pct20" w:color="auto" w:fill="auto"/>
          </w:tcPr>
          <w:p w:rsidR="005B4631" w:rsidRPr="00AC7640" w:rsidRDefault="005B4631" w:rsidP="00AF757F">
            <w:r w:rsidRPr="00AC7640">
              <w:t>Ministerstvo financií SR</w:t>
            </w:r>
          </w:p>
        </w:tc>
      </w:tr>
      <w:tr w:rsidR="005B4631" w:rsidRPr="00AC7640" w:rsidTr="00AF757F">
        <w:tc>
          <w:tcPr>
            <w:tcW w:w="1368" w:type="dxa"/>
            <w:shd w:val="pct5" w:color="auto" w:fill="auto"/>
          </w:tcPr>
          <w:p w:rsidR="005B4631" w:rsidRPr="00AC7640" w:rsidRDefault="005B4631" w:rsidP="00AF757F">
            <w:r w:rsidRPr="00AC7640">
              <w:t>OÚ</w:t>
            </w:r>
          </w:p>
        </w:tc>
        <w:tc>
          <w:tcPr>
            <w:tcW w:w="7421" w:type="dxa"/>
            <w:shd w:val="pct5" w:color="auto" w:fill="auto"/>
          </w:tcPr>
          <w:p w:rsidR="005B4631" w:rsidRPr="00AC7640" w:rsidRDefault="005B4631" w:rsidP="00AF757F">
            <w:r w:rsidRPr="00AC7640">
              <w:t>Osobné údaje</w:t>
            </w:r>
          </w:p>
        </w:tc>
      </w:tr>
      <w:tr w:rsidR="005B4631" w:rsidRPr="00AC7640" w:rsidTr="00AF757F">
        <w:tc>
          <w:tcPr>
            <w:tcW w:w="1368" w:type="dxa"/>
            <w:shd w:val="pct20" w:color="auto" w:fill="auto"/>
          </w:tcPr>
          <w:p w:rsidR="005B4631" w:rsidRPr="00AC7640" w:rsidRDefault="005B4631" w:rsidP="00AF757F">
            <w:r>
              <w:t>SR</w:t>
            </w:r>
          </w:p>
        </w:tc>
        <w:tc>
          <w:tcPr>
            <w:tcW w:w="7421" w:type="dxa"/>
            <w:shd w:val="pct20" w:color="auto" w:fill="auto"/>
          </w:tcPr>
          <w:p w:rsidR="005B4631" w:rsidRPr="00AC7640" w:rsidRDefault="005B4631" w:rsidP="00AF757F">
            <w:r>
              <w:t>Slovenská republika</w:t>
            </w:r>
          </w:p>
        </w:tc>
      </w:tr>
      <w:tr w:rsidR="005B4631" w:rsidRPr="00AC7640" w:rsidTr="00AF757F">
        <w:tc>
          <w:tcPr>
            <w:tcW w:w="1368" w:type="dxa"/>
            <w:shd w:val="pct5" w:color="auto" w:fill="auto"/>
          </w:tcPr>
          <w:p w:rsidR="005B4631" w:rsidRPr="00AC7640" w:rsidRDefault="005B4631" w:rsidP="00AF757F">
            <w:r>
              <w:t>ÚPVS</w:t>
            </w:r>
          </w:p>
        </w:tc>
        <w:tc>
          <w:tcPr>
            <w:tcW w:w="7421" w:type="dxa"/>
            <w:shd w:val="pct5" w:color="auto" w:fill="auto"/>
          </w:tcPr>
          <w:p w:rsidR="005B4631" w:rsidRPr="00AC7640" w:rsidRDefault="005B4631" w:rsidP="00AF757F">
            <w:r>
              <w:t>Ústredný portál verejnej správy</w:t>
            </w:r>
          </w:p>
        </w:tc>
      </w:tr>
      <w:tr w:rsidR="005B4631" w:rsidRPr="00AC7640" w:rsidTr="00AF757F">
        <w:tc>
          <w:tcPr>
            <w:tcW w:w="1368" w:type="dxa"/>
            <w:shd w:val="pct20" w:color="auto" w:fill="auto"/>
          </w:tcPr>
          <w:p w:rsidR="005B4631" w:rsidRPr="00AC7640" w:rsidRDefault="005B4631" w:rsidP="00AF757F">
            <w:r w:rsidRPr="00AC7640">
              <w:t>ZEP</w:t>
            </w:r>
          </w:p>
        </w:tc>
        <w:tc>
          <w:tcPr>
            <w:tcW w:w="7421" w:type="dxa"/>
            <w:shd w:val="pct20" w:color="auto" w:fill="auto"/>
          </w:tcPr>
          <w:p w:rsidR="005B4631" w:rsidRPr="00AC7640" w:rsidRDefault="005B4631" w:rsidP="00AF757F">
            <w:r w:rsidRPr="00AC7640">
              <w:t>Zaručený elektronický podpis</w:t>
            </w:r>
          </w:p>
        </w:tc>
      </w:tr>
    </w:tbl>
    <w:p w:rsidR="005B4631" w:rsidRDefault="005B4631" w:rsidP="005B4631"/>
    <w:p w:rsidR="005B4631" w:rsidRDefault="005B4631" w:rsidP="005B4631"/>
    <w:p w:rsidR="005B4631" w:rsidRPr="006159BC" w:rsidRDefault="005B4631" w:rsidP="005B4631"/>
    <w:p w:rsidR="005B4631" w:rsidRDefault="005B4631" w:rsidP="005B4631">
      <w:pPr>
        <w:pStyle w:val="Nadpis1"/>
        <w:numPr>
          <w:ilvl w:val="0"/>
          <w:numId w:val="1"/>
        </w:numPr>
        <w:ind w:left="360" w:hanging="360"/>
      </w:pPr>
      <w:r>
        <w:br w:type="page"/>
      </w:r>
      <w:bookmarkStart w:id="3" w:name="_Toc416953773"/>
      <w:r>
        <w:lastRenderedPageBreak/>
        <w:t>Bezpečnostná politika prevádzkarne IOM</w:t>
      </w:r>
      <w:bookmarkEnd w:id="3"/>
    </w:p>
    <w:p w:rsidR="005B4631" w:rsidRDefault="005B4631" w:rsidP="005B4631"/>
    <w:p w:rsidR="005B4631" w:rsidRDefault="005B4631" w:rsidP="005B4631">
      <w:r>
        <w:t>Pre potreby bezpečnostnej politiky v súlade s výnosom MF SR 55/2014 o štandardoch pre ISVS sa za povinnú osobu považuje prevádzkovateľ pracoviska IOM a za ISVS sa považuje IS IOM.</w:t>
      </w:r>
    </w:p>
    <w:p w:rsidR="005B4631" w:rsidRDefault="005B4631" w:rsidP="005B4631"/>
    <w:p w:rsidR="005B4631" w:rsidRDefault="005B4631" w:rsidP="005B4631">
      <w:r>
        <w:t>Členenie nasledovných kapitol zodpovedá oblastiam s potrebným riešením v rámci bezpečnostnej politiky podľa výnosu o štandardoch ISVS.</w:t>
      </w:r>
    </w:p>
    <w:p w:rsidR="005B4631" w:rsidRPr="004D000E" w:rsidRDefault="005B4631" w:rsidP="005B4631">
      <w:pPr>
        <w:pStyle w:val="Nadpis2"/>
        <w:numPr>
          <w:ilvl w:val="1"/>
          <w:numId w:val="1"/>
        </w:numPr>
        <w:ind w:left="360" w:hanging="360"/>
      </w:pPr>
      <w:bookmarkStart w:id="4" w:name="_Toc416953774"/>
      <w:r w:rsidRPr="004D000E">
        <w:t>Bezpečnostné ciele povinnej osoby</w:t>
      </w:r>
      <w:bookmarkEnd w:id="4"/>
    </w:p>
    <w:p w:rsidR="005B4631" w:rsidRDefault="005B4631" w:rsidP="005B4631"/>
    <w:p w:rsidR="005B4631" w:rsidRDefault="005B4631" w:rsidP="005B4631">
      <w:r>
        <w:t>Základné bezpečnostné ciele povinnej osoby pri prevádzke IS IOM sú v súlade s bezpečnostným projektom IS IOM podľa požiadaviek zákona 122/2013 v znení neskorších predpisov a vyhlášky Úradu na ochranu osobných údajov 164/2013 v znení neskorších predpisov:</w:t>
      </w:r>
    </w:p>
    <w:p w:rsidR="005B4631" w:rsidRPr="00C505E5" w:rsidRDefault="005B4631" w:rsidP="005B4631">
      <w:pPr>
        <w:numPr>
          <w:ilvl w:val="0"/>
          <w:numId w:val="2"/>
        </w:numPr>
        <w:tabs>
          <w:tab w:val="num" w:pos="851"/>
        </w:tabs>
      </w:pPr>
      <w:r w:rsidRPr="00C505E5">
        <w:t>ochrana údajov a služieb pred zneužitím, falšovaním,</w:t>
      </w:r>
    </w:p>
    <w:p w:rsidR="005B4631" w:rsidRPr="00C505E5" w:rsidRDefault="005B4631" w:rsidP="005B4631">
      <w:pPr>
        <w:numPr>
          <w:ilvl w:val="0"/>
          <w:numId w:val="2"/>
        </w:numPr>
        <w:tabs>
          <w:tab w:val="num" w:pos="851"/>
        </w:tabs>
      </w:pPr>
      <w:r w:rsidRPr="00C505E5">
        <w:t>zaistenie dôvernosti a integrity používateľských údajov,</w:t>
      </w:r>
    </w:p>
    <w:p w:rsidR="005B4631" w:rsidRPr="00C505E5" w:rsidRDefault="005B4631" w:rsidP="005B4631">
      <w:pPr>
        <w:numPr>
          <w:ilvl w:val="0"/>
          <w:numId w:val="2"/>
        </w:numPr>
        <w:tabs>
          <w:tab w:val="num" w:pos="851"/>
        </w:tabs>
      </w:pPr>
      <w:r w:rsidRPr="00C505E5">
        <w:t>plynulá prevádzka v medziach predpísaných funkčných parametrov,</w:t>
      </w:r>
    </w:p>
    <w:p w:rsidR="005B4631" w:rsidRPr="00C505E5" w:rsidRDefault="005B4631" w:rsidP="005B4631">
      <w:pPr>
        <w:numPr>
          <w:ilvl w:val="0"/>
          <w:numId w:val="2"/>
        </w:numPr>
        <w:tabs>
          <w:tab w:val="num" w:pos="851"/>
        </w:tabs>
      </w:pPr>
      <w:r w:rsidRPr="00C505E5">
        <w:t>prevádzka v súlade so všet</w:t>
      </w:r>
      <w:r>
        <w:t>kými relevantnými požiadavkami</w:t>
      </w:r>
      <w:r w:rsidRPr="00C505E5">
        <w:t>,</w:t>
      </w:r>
    </w:p>
    <w:p w:rsidR="005B4631" w:rsidRPr="00C505E5" w:rsidRDefault="005B4631" w:rsidP="005B4631">
      <w:pPr>
        <w:numPr>
          <w:ilvl w:val="0"/>
          <w:numId w:val="2"/>
        </w:numPr>
        <w:tabs>
          <w:tab w:val="num" w:pos="851"/>
        </w:tabs>
      </w:pPr>
      <w:r w:rsidRPr="00C505E5">
        <w:t>ochrana dobrého mena prevádzkovateľa, SR, dodávateľa,</w:t>
      </w:r>
    </w:p>
    <w:p w:rsidR="005B4631" w:rsidRPr="00C505E5" w:rsidRDefault="005B4631" w:rsidP="005B4631">
      <w:pPr>
        <w:numPr>
          <w:ilvl w:val="0"/>
          <w:numId w:val="2"/>
        </w:numPr>
        <w:tabs>
          <w:tab w:val="num" w:pos="851"/>
        </w:tabs>
      </w:pPr>
      <w:r w:rsidRPr="00C505E5">
        <w:t>dosiahnutie uvedených priorít efektívnym spôsobom.</w:t>
      </w:r>
    </w:p>
    <w:p w:rsidR="005B4631" w:rsidRDefault="005B4631" w:rsidP="005B4631"/>
    <w:p w:rsidR="005B4631" w:rsidRDefault="005B4631" w:rsidP="005B4631">
      <w:r>
        <w:t>Konkretizácia bezpečnostných cieľov je uvedená v Bezpečnostnom projekte IS IOM, časť Bezpečnostný zámer.</w:t>
      </w:r>
    </w:p>
    <w:p w:rsidR="005B4631" w:rsidRDefault="005B4631" w:rsidP="005B4631"/>
    <w:p w:rsidR="005B4631" w:rsidRPr="004D000E" w:rsidRDefault="005B4631" w:rsidP="005B4631">
      <w:pPr>
        <w:pStyle w:val="Nadpis2"/>
        <w:numPr>
          <w:ilvl w:val="1"/>
          <w:numId w:val="1"/>
        </w:numPr>
        <w:ind w:left="360" w:hanging="360"/>
      </w:pPr>
      <w:bookmarkStart w:id="5" w:name="_Toc416953775"/>
      <w:r w:rsidRPr="004D000E">
        <w:t>Spôsoby vyhodnocovania bezpečnostných cieľov</w:t>
      </w:r>
      <w:bookmarkEnd w:id="5"/>
    </w:p>
    <w:p w:rsidR="005B4631" w:rsidRDefault="005B4631" w:rsidP="005B4631"/>
    <w:p w:rsidR="005B4631" w:rsidRDefault="005B4631" w:rsidP="005B4631">
      <w:r>
        <w:t>Za vyhodnocovanie bezpečnostných cieľov je zodpovedný zamestnanec povinnej osoby, ktorý je zodpovedný za informačnú bezpečnosť. Vyhodnocovanie bezpečnostných cieľov spočíva najmä vo vyhodnocovaní množstva, závažnosti a druhu bezpečnostných incidentov a úrovne implementácie bezpečnostných opatrení. Správu o dosahovaní bezpečnostných cieľov predkladá tento pracovník vedeniu povinnej osoby oficiálnou cestou minimálne raz ročne a vždy po zistení a vyšetrení bezpečnostného incidentu.</w:t>
      </w:r>
    </w:p>
    <w:p w:rsidR="005B4631" w:rsidRDefault="005B4631" w:rsidP="005B4631"/>
    <w:p w:rsidR="005B4631" w:rsidRPr="004D000E" w:rsidRDefault="005B4631" w:rsidP="005B4631">
      <w:pPr>
        <w:pStyle w:val="Nadpis2"/>
        <w:numPr>
          <w:ilvl w:val="1"/>
          <w:numId w:val="1"/>
        </w:numPr>
        <w:ind w:left="360" w:hanging="360"/>
      </w:pPr>
      <w:bookmarkStart w:id="6" w:name="_Toc416953776"/>
      <w:r w:rsidRPr="004D000E">
        <w:t>Úloha vedenia povinnej osoby pri zaisťovaní informačnej bezpečnosti</w:t>
      </w:r>
      <w:bookmarkEnd w:id="6"/>
    </w:p>
    <w:p w:rsidR="005B4631" w:rsidRDefault="005B4631" w:rsidP="005B4631"/>
    <w:p w:rsidR="005B4631" w:rsidRDefault="005B4631" w:rsidP="005B4631">
      <w:r>
        <w:t>Vedenie povinnej osoby je zodpovedné za začlenenie tejto bezpečnostnej politiky do svojho systému riadenia informačnej bezpečnosti (napr. zosúladenie s bezpečnostnou politikou celej organizácie), jej rozpracovanie tam kde je to potrebné, realizáciu v nej uvedených aktivít. vrátane zodpovednosti za informovanie všetkých zamestnancov a tretích strán o obsahu bezpečnostnej politiky a povinnosti dodržiavať bezpečnostnú politiku.</w:t>
      </w:r>
    </w:p>
    <w:p w:rsidR="005B4631" w:rsidRDefault="005B4631" w:rsidP="005B4631"/>
    <w:p w:rsidR="005B4631" w:rsidRDefault="005B4631" w:rsidP="005B4631">
      <w:r>
        <w:lastRenderedPageBreak/>
        <w:t>Vedenie povinnej osoby zodpovedá za dodržiavanie informačnej bezpečnosti, dosahovanie cieľov informačnej bezpečnosti a zodpovedá za zabezpečenie potrebných zdrojov na dosahovanie cieľov informačnej bezpečnosti.</w:t>
      </w:r>
    </w:p>
    <w:p w:rsidR="005B4631" w:rsidRDefault="005B4631" w:rsidP="005B4631">
      <w:r>
        <w:t>Vedenie povinnej osoby je zodpovedné za vysporiadanie sa s rizikami informačnej bezpečnosti a za formálnu akceptáciu zvyškových rizík.</w:t>
      </w:r>
    </w:p>
    <w:p w:rsidR="005B4631" w:rsidRDefault="005B4631" w:rsidP="005B4631">
      <w:r>
        <w:t xml:space="preserve">Vedenie povinnej osoby zodpovedá za adekvátne vysporiadanie sa s bezpečnostnými incidentmi, vrátane komunikácie s dotknutými osobami,  a vyvodenie dôsledkov. </w:t>
      </w:r>
    </w:p>
    <w:p w:rsidR="005B4631" w:rsidRDefault="005B4631" w:rsidP="005B4631">
      <w:r>
        <w:t>Vedenie povinnej osoby poveruje zamestnancov výkonom bezpečnostných rolí a prideľuje adekvátne právomoci. Pri prideľovaní právomocí dbá najmä na požiadavky na nezlučiteľnosť rolí, kompetentnosť poverovaných pracovníkov plniť povinnosti vyplývajúce z rolí,  povahu informačných aktív a riziká, ktoré majú na aktíva vplyv.</w:t>
      </w:r>
    </w:p>
    <w:p w:rsidR="005B4631" w:rsidRDefault="005B4631" w:rsidP="005B4631"/>
    <w:p w:rsidR="005B4631" w:rsidRPr="004D000E" w:rsidRDefault="005B4631" w:rsidP="005B4631">
      <w:pPr>
        <w:pStyle w:val="Nadpis2"/>
        <w:numPr>
          <w:ilvl w:val="1"/>
          <w:numId w:val="1"/>
        </w:numPr>
        <w:ind w:left="360" w:hanging="360"/>
      </w:pPr>
      <w:bookmarkStart w:id="7" w:name="_Toc416953777"/>
      <w:r w:rsidRPr="004D000E">
        <w:t>Všeobecné a špecifické zodpovednosti a povinnosti v oblasti informačnej bezpečnosti</w:t>
      </w:r>
      <w:bookmarkEnd w:id="7"/>
    </w:p>
    <w:p w:rsidR="005B4631" w:rsidRDefault="005B4631" w:rsidP="005B4631"/>
    <w:p w:rsidR="005B4631" w:rsidRDefault="005B4631" w:rsidP="005B4631">
      <w:r>
        <w:t>Všetci zamestnanci povinnej osoby a tretie strany, ktoré prichádzajú do styku s informačnými aktívami povinnej osoby sú zodpovední za ochranu informačných aktív povinnej osoby. Sú povinní dodržiavať bezpečnostnú politiku, pravidlá informačnej bezpečnosti, oboznámiť sa s obsahom bezpečnostnej politiky a charakterom bezpečnostných opatrení. Nesmú obchádzať ani inak znižovať účinnosť bezpečnostných opatrení. O každom zistení porušenia bezpečnostnej politiky, bezpečnostnom incidente alebo snahe o obchádzanie bezpečnostných opatrení či znižovaní ich účinnosti sú povinní informovať pracovníka povereného informačnou bezpečnosťou a vedenie povinnej osoby.</w:t>
      </w:r>
    </w:p>
    <w:p w:rsidR="005B4631" w:rsidRDefault="005B4631" w:rsidP="005B4631">
      <w:r>
        <w:t>Povinná osoba určí osobu zodpovednú za riadenie informačnej bezpečnosti pracoviska IOM, ktorá bude vykonávať činnosti minimálne v rozsahu uvedenom v tejto bezpečnostnej politike.</w:t>
      </w:r>
    </w:p>
    <w:p w:rsidR="005B4631" w:rsidRDefault="005B4631" w:rsidP="005B4631"/>
    <w:p w:rsidR="005B4631" w:rsidRDefault="005B4631" w:rsidP="005B4631">
      <w:pPr>
        <w:pStyle w:val="Nadpis2"/>
        <w:numPr>
          <w:ilvl w:val="1"/>
          <w:numId w:val="1"/>
        </w:numPr>
        <w:ind w:left="360" w:hanging="360"/>
      </w:pPr>
      <w:bookmarkStart w:id="8" w:name="_Toc416953778"/>
      <w:r w:rsidRPr="004D000E">
        <w:t>Povinnosť zaistenia nenarušenia informačnej bezpečnosti povinnej osoby</w:t>
      </w:r>
      <w:bookmarkEnd w:id="8"/>
    </w:p>
    <w:p w:rsidR="005B4631" w:rsidRDefault="005B4631" w:rsidP="005B4631"/>
    <w:p w:rsidR="005B4631" w:rsidRPr="00495F1B" w:rsidRDefault="005B4631" w:rsidP="005B4631">
      <w:r>
        <w:t>Povinná osoba je povinná implementovať a používať organizačné, personálne a technické opatrenia, ktorými zabezpečí zaistenie nenarušenia informačnej bezpečnosti. Rozsah potrebných opatrení je vymedzený Bezpečnostným projektom IS IOM, dokumentáciou IS IOM s prihliadnutím na špecifiká pracoviska IOM u povinnej osoby (analyzovaných v rámci vyhodnotenia rizík, viď. kap. 9).</w:t>
      </w:r>
    </w:p>
    <w:p w:rsidR="005B4631" w:rsidRDefault="005B4631" w:rsidP="005B4631">
      <w:pPr>
        <w:rPr>
          <w:b/>
        </w:rPr>
      </w:pPr>
    </w:p>
    <w:p w:rsidR="005B4631" w:rsidRPr="004D000E" w:rsidRDefault="005B4631" w:rsidP="005B4631">
      <w:pPr>
        <w:pStyle w:val="Nadpis2"/>
        <w:numPr>
          <w:ilvl w:val="1"/>
          <w:numId w:val="1"/>
        </w:numPr>
        <w:ind w:left="360" w:hanging="360"/>
      </w:pPr>
      <w:bookmarkStart w:id="9" w:name="_Toc416953779"/>
      <w:r w:rsidRPr="004D000E">
        <w:t>Súlad bezpečnostnej politiky so všeobecne záväznými právnymi predpismi, vnútornými predpismi a zmluvnými záväzkami povinnej osoby</w:t>
      </w:r>
      <w:bookmarkEnd w:id="9"/>
    </w:p>
    <w:p w:rsidR="005B4631" w:rsidRDefault="005B4631" w:rsidP="005B4631"/>
    <w:p w:rsidR="005B4631" w:rsidRDefault="005B4631" w:rsidP="005B4631">
      <w:r>
        <w:t xml:space="preserve">Bezpečnostná politika reflektuje požiadavky vyhlášky 55/2014 o štandardoch  pre ISVS ako aj zákona 122/2013 a vyhlášky UOOU 164/2013 v znení neskorších predpisov v rozsahu primeranom IS IOM. Jej cieľom je predovšetkým stanoviť rámec pre ochranu informácií </w:t>
      </w:r>
      <w:r>
        <w:lastRenderedPageBreak/>
        <w:t>uložených, spracovávaných a prenášaných v rámci IS IOM a to vrátane dokumentov v papierovej podobe a elektronickej podobe.</w:t>
      </w:r>
    </w:p>
    <w:p w:rsidR="005B4631" w:rsidRDefault="005B4631" w:rsidP="005B4631"/>
    <w:p w:rsidR="005B4631" w:rsidRPr="004D000E" w:rsidRDefault="005B4631" w:rsidP="005B4631">
      <w:pPr>
        <w:pStyle w:val="Nadpis2"/>
        <w:numPr>
          <w:ilvl w:val="1"/>
          <w:numId w:val="1"/>
        </w:numPr>
        <w:ind w:left="360" w:hanging="360"/>
      </w:pPr>
      <w:bookmarkStart w:id="10" w:name="_Toc416953780"/>
      <w:r w:rsidRPr="004D000E">
        <w:t>Požiadavky na IS IOM, spôsob vedenia a aktualizácie dokumentácie o IS IOM</w:t>
      </w:r>
      <w:bookmarkEnd w:id="10"/>
    </w:p>
    <w:p w:rsidR="005B4631" w:rsidRDefault="005B4631" w:rsidP="005B4631"/>
    <w:p w:rsidR="005B4631" w:rsidRDefault="005B4631" w:rsidP="005B4631">
      <w:r>
        <w:t>Povinná osoba prevádzkuje IS IOM a udržiava o ňom dokumentáciu v súlade s prevádzkovým manuálom IS IOM v rozsahu a spôsobom v ňom stanoveným. Jedná sa predovšetkým o dokumentáciu rozsahu oprávnení pracovníkov IOM, administrátorov IOM, dokumentáciu všetkých servisných zásahov na technických prostriedkoch IOM, dokumentáciu o vykonaných pravidelných kontrolách a ich výsledkoch,  dokumentáciu o podaniach uskutočnených prostredníctvom IS IOM v rozsahu a forme špecifikovaných prevádzkovým manuálom IS IOM, havarijných plánoch, plánoch obnovy a dokumentáciu nasadených bezpečnostných opatrení.</w:t>
      </w:r>
    </w:p>
    <w:p w:rsidR="005B4631" w:rsidRDefault="005B4631" w:rsidP="005B4631"/>
    <w:p w:rsidR="005B4631" w:rsidRPr="004D000E" w:rsidRDefault="005B4631" w:rsidP="005B4631">
      <w:pPr>
        <w:pStyle w:val="Nadpis2"/>
        <w:numPr>
          <w:ilvl w:val="1"/>
          <w:numId w:val="1"/>
        </w:numPr>
        <w:ind w:left="360" w:hanging="360"/>
      </w:pPr>
      <w:bookmarkStart w:id="11" w:name="_Toc416953781"/>
      <w:r w:rsidRPr="004D000E">
        <w:t>Rozsah a úroveň ochrany IS IOM vrátane hodnotenia slabých miest a ohrození</w:t>
      </w:r>
      <w:bookmarkEnd w:id="11"/>
    </w:p>
    <w:p w:rsidR="005B4631" w:rsidRDefault="005B4631" w:rsidP="005B4631"/>
    <w:p w:rsidR="005B4631" w:rsidRDefault="005B4631" w:rsidP="005B4631">
      <w:r>
        <w:t xml:space="preserve">Hodnotenie slabých miest a ohrození je súčasťou bezpečnostnej dokumentácie podľa vyhlášky UOOU 164/2013. Povinná osoba pravidelne aktualizuje túto dokumentáciu v súlade s požiadavkami uvedenými v tejto dokumentácii, spravidla raz ročne alebo pri každej výraznej zmene prostredia, v ktorom je IOM prevádzkované. Povinná osoba na tento účel používa metodiku, ktorá je súčasťou prevádzkovej dokumentácie IS IOM. Rozsah ochrany IS IOM je daný technickým zabezpečením IOM, prevádzkarňou IOM, pracovníkmi IOM, komunikačnými kanálmi IS IOM a bezprostredným okolím IOM. Úroveň ochrany je daná požiadavkami na ochranu osobných údajov v rozsahu zákona 122/2013 v znení neskorších predpisov a to predovšetkým tak, aby sa zabezpečila dostupnosť, dôvernosť, integrita osobných údajov a dohľadateľnosť manipulácie a spracovania osobných údajov na všetkých použitých nosičoch vrátane papierových kópií, záložných médií, komunikačných kanáloch a všetkých elektronických dátových nosičoch. </w:t>
      </w:r>
    </w:p>
    <w:p w:rsidR="005B4631" w:rsidRDefault="005B4631" w:rsidP="005B4631"/>
    <w:p w:rsidR="005B4631" w:rsidRPr="004D000E" w:rsidRDefault="005B4631" w:rsidP="005B4631">
      <w:pPr>
        <w:pStyle w:val="Nadpis2"/>
        <w:numPr>
          <w:ilvl w:val="1"/>
          <w:numId w:val="1"/>
        </w:numPr>
        <w:ind w:left="360" w:hanging="360"/>
      </w:pPr>
      <w:bookmarkStart w:id="12" w:name="_Toc416953782"/>
      <w:r w:rsidRPr="004D000E">
        <w:t>Rámec pre manažment rizík v súvislosti s aktívami, od ktorých závisí činnosť IS IOM</w:t>
      </w:r>
      <w:bookmarkEnd w:id="12"/>
      <w:r w:rsidRPr="004D000E">
        <w:t xml:space="preserve"> </w:t>
      </w:r>
    </w:p>
    <w:p w:rsidR="005B4631" w:rsidRDefault="005B4631" w:rsidP="005B4631"/>
    <w:p w:rsidR="005B4631" w:rsidRDefault="005B4631" w:rsidP="005B4631">
      <w:r>
        <w:t>Povinná osoba riadi riziká v súvislosti s prevádzkou IOM a IS IOM primárne v oblastiach, ktoré sú definované v záveroch bezpečnostného projektu tak, že implementuje v primeranej miere opatrenia spĺňajúce zásady bezpečnosti uvedené v záveroch bezpečnostného projektu. Povinná osoba vykonáva vyhodnotenie rizík informačnej bezpečnosti a návrh a implementáciu adekvátnych bezpečnostných opatrení na pokrytie rizík v prípade odlišnej klasifikácie rizík oproti predpokladanému štandardnému stavu pracoviska IOM podľa Bezpečnostnému projektu IS IOM.</w:t>
      </w:r>
    </w:p>
    <w:p w:rsidR="005B4631" w:rsidRDefault="005B4631" w:rsidP="005B4631"/>
    <w:p w:rsidR="005B4631" w:rsidRDefault="005B4631" w:rsidP="005B4631"/>
    <w:p w:rsidR="005B4631" w:rsidRPr="004D000E" w:rsidRDefault="005B4631" w:rsidP="005B4631">
      <w:pPr>
        <w:pStyle w:val="Nadpis2"/>
        <w:numPr>
          <w:ilvl w:val="1"/>
          <w:numId w:val="1"/>
        </w:numPr>
        <w:ind w:left="360" w:hanging="360"/>
      </w:pPr>
      <w:bookmarkStart w:id="13" w:name="_Toc416953783"/>
      <w:r w:rsidRPr="004D000E">
        <w:lastRenderedPageBreak/>
        <w:t>Rozsah a periodicita auditu bezpečnosti IS IOM, určenie udalostí v IS IOM, o ktorých sa vytvára záznam auditu</w:t>
      </w:r>
      <w:bookmarkEnd w:id="13"/>
    </w:p>
    <w:p w:rsidR="005B4631" w:rsidRDefault="005B4631" w:rsidP="005B4631"/>
    <w:p w:rsidR="005B4631" w:rsidRDefault="005B4631" w:rsidP="005B4631">
      <w:r>
        <w:t>Rozsah a periodicita auditu bezpečnosti IS IOM sú stanovené v prevádzkovom manuáli IS IOM. Udalosti, o ktorých sa vykonáva automatický záznam auditu, sú definované v prevádzkovom manuáli IS IOM. Samostatne sa vykonávajú záznamy o všetkých udalostiach, ktoré môžu mať vplyv na bezpečnosť informácií IS IOM či už v elektronickej alebo papierovej podobe, na všetkých typoch nosičov. Jedná sa najmä o pokus o neoprávnené použitie IS IOM, pokus o zneužitie IS IOM, vírusová infekcia, neoprávnený pokus o získanie prístupových práv k IS IOM, pokus o narušenie bezpečnostných opatrení, vrátane opatrení fyzickej bezpečnosti, pokus o odvodenie informácií o podaniach na základe pozorovania pracoviska IOM, pokus o inštaláciu neautorizovaných záznamových systémov (kamery, mikrofóny).</w:t>
      </w:r>
    </w:p>
    <w:p w:rsidR="005B4631" w:rsidRDefault="005B4631" w:rsidP="005B4631">
      <w:r>
        <w:t>Záznamy auditu sa vykonávajú aj v rámci auditu informačnej bezpečnosti podľa použitej metodiky auditu.</w:t>
      </w:r>
    </w:p>
    <w:p w:rsidR="005B4631" w:rsidRDefault="005B4631" w:rsidP="005B4631"/>
    <w:p w:rsidR="005B4631" w:rsidRDefault="005B4631" w:rsidP="005B4631">
      <w:pPr>
        <w:pStyle w:val="Nadpis2"/>
        <w:numPr>
          <w:ilvl w:val="1"/>
          <w:numId w:val="1"/>
        </w:numPr>
        <w:ind w:left="360" w:hanging="360"/>
      </w:pPr>
      <w:bookmarkStart w:id="14" w:name="_Toc416953784"/>
      <w:r w:rsidRPr="004D000E">
        <w:t>Smernica pre zálohovanie, určenie skupín údajov a periodicity ich zálohovania</w:t>
      </w:r>
      <w:bookmarkEnd w:id="14"/>
    </w:p>
    <w:p w:rsidR="005B4631" w:rsidRDefault="005B4631" w:rsidP="005B4631"/>
    <w:p w:rsidR="005B4631" w:rsidRPr="0075011B" w:rsidRDefault="005B4631" w:rsidP="005B4631">
      <w:r>
        <w:t>Všetky informácie v elektronickej forme, potrebné pre prevádzkovanie IS IOM, sú zálohované na centrálnej infraštruktúre prevádzkovateľa IS IOM. Zálohovanie sa na prevádzkarňach IOM nevykonáva. Dokumentácia v papierovej forme podlieha režimu stanovenému registratúrnym poriadkom prevádzkovateľa IOM.</w:t>
      </w:r>
    </w:p>
    <w:p w:rsidR="005B4631" w:rsidRDefault="005B4631" w:rsidP="005B4631"/>
    <w:p w:rsidR="005B4631" w:rsidRPr="004D000E" w:rsidRDefault="005B4631" w:rsidP="005B4631">
      <w:pPr>
        <w:pStyle w:val="Nadpis2"/>
        <w:numPr>
          <w:ilvl w:val="1"/>
          <w:numId w:val="1"/>
        </w:numPr>
        <w:ind w:left="360" w:hanging="360"/>
      </w:pPr>
      <w:bookmarkStart w:id="15" w:name="_Toc416953785"/>
      <w:r w:rsidRPr="004D000E">
        <w:t>Periodicita monitorovania bezpečnosti a aktualizácia softvéru</w:t>
      </w:r>
      <w:bookmarkEnd w:id="15"/>
    </w:p>
    <w:p w:rsidR="005B4631" w:rsidRDefault="005B4631" w:rsidP="005B4631"/>
    <w:p w:rsidR="005B4631" w:rsidRDefault="005B4631" w:rsidP="005B4631">
      <w:r>
        <w:t>Povinná osoba musí udržiavať programové vybavenie technických prostriedkov IOM v aktuálnom stave tak, aby sa minimalizovala možnosť zneužitia softvérových zraniteľností na narušenie bezpečnosti IS IOM a IOM. Aktualizácia sa musí vykonávať priebežne. V prípade, že to nie je možné, je potrebné zabezpečiť pravidelnú aktualizáciu podľa zásad uvedených v záveroch bezpečnostného projektu. Povinná osoba musí udržiavať aktuálny predovšetkým systém na ochranu proti počítačovým vírusom a škodlivému kódu, operačný systém počítačov IOM, aplikačný softvér IS IOM, ostatný aplikačný softvér používaný na pracovisku IOM, operačný systém alebo firmvér všetkých komunikačných prostriedkov, ktoré sa využívajú pri poskytovaní služieb IOM (napríklad internetové smerovače, firewally, sieťové prvky).</w:t>
      </w:r>
    </w:p>
    <w:p w:rsidR="005B4631" w:rsidRDefault="005B4631" w:rsidP="005B4631"/>
    <w:p w:rsidR="005B4631" w:rsidRPr="004D000E" w:rsidRDefault="005B4631" w:rsidP="005B4631">
      <w:pPr>
        <w:pStyle w:val="Nadpis2"/>
        <w:numPr>
          <w:ilvl w:val="1"/>
          <w:numId w:val="1"/>
        </w:numPr>
        <w:ind w:left="360" w:hanging="360"/>
      </w:pPr>
      <w:bookmarkStart w:id="16" w:name="_Toc416953786"/>
      <w:r w:rsidRPr="004D000E">
        <w:t>Zoznam dokumentov potrebných na zaistenie informačnej bezpečnosti</w:t>
      </w:r>
      <w:bookmarkEnd w:id="16"/>
    </w:p>
    <w:p w:rsidR="005B4631" w:rsidRDefault="005B4631" w:rsidP="005B4631"/>
    <w:p w:rsidR="005B4631" w:rsidRDefault="005B4631" w:rsidP="005B4631">
      <w:r>
        <w:t xml:space="preserve">Dokumentácia potrebná na zaistenie informačnej bezpečnosti je vytváraná v rozsahu požiadaviek vyhlášky 55/2014 o štandardoch pre ISVS a vyhlášky UOOU 164/2013  znení neskorších predpisov.  Jedná sa predovšetkým o bezpečnostný projekt IS IOM -  </w:t>
      </w:r>
      <w:r>
        <w:lastRenderedPageBreak/>
        <w:t>bezpečnostný zámer IS IOM, analýzu bezpečnosti IS IOM a závery bezpečnostného projektu – zásady bezpečnosti IS IOM, bezpečnostnú politiku IS IOM.</w:t>
      </w:r>
    </w:p>
    <w:p w:rsidR="005B4631" w:rsidRDefault="005B4631" w:rsidP="005B4631"/>
    <w:p w:rsidR="005B4631" w:rsidRPr="004D000E" w:rsidRDefault="005B4631" w:rsidP="005B4631">
      <w:pPr>
        <w:pStyle w:val="Nadpis2"/>
        <w:numPr>
          <w:ilvl w:val="1"/>
          <w:numId w:val="1"/>
        </w:numPr>
        <w:ind w:left="360" w:hanging="360"/>
      </w:pPr>
      <w:bookmarkStart w:id="17" w:name="_Toc416953787"/>
      <w:r w:rsidRPr="004D000E">
        <w:t>Postup a periodicita revízie bezpečnostnej politiky povinnej osoby</w:t>
      </w:r>
      <w:bookmarkEnd w:id="17"/>
    </w:p>
    <w:p w:rsidR="005B4631" w:rsidRDefault="005B4631" w:rsidP="005B4631"/>
    <w:p w:rsidR="005B4631" w:rsidRDefault="005B4631" w:rsidP="005B4631">
      <w:r>
        <w:t>Bezpečnostná politika musí byť revidovaná v súlade s bezpečnostnou dokumentáciou a prevádzkovým manuálom IS IOM minimálne raz ročne a pri akejkoľvek zmene prostredia či významnej udalosti, ktorá môže mať vplyv na informačnú bezpečnosť IS IOM</w:t>
      </w:r>
    </w:p>
    <w:p w:rsidR="005B4631" w:rsidRDefault="005B4631" w:rsidP="005B4631"/>
    <w:p w:rsidR="005B4631" w:rsidRPr="004D000E" w:rsidRDefault="005B4631" w:rsidP="005B4631">
      <w:pPr>
        <w:pStyle w:val="Nadpis2"/>
        <w:numPr>
          <w:ilvl w:val="1"/>
          <w:numId w:val="1"/>
        </w:numPr>
        <w:ind w:left="360" w:hanging="360"/>
      </w:pPr>
      <w:bookmarkStart w:id="18" w:name="_Toc416953788"/>
      <w:r w:rsidRPr="004D000E">
        <w:t>Organizačné zabezpečenie realizácie a dodržiavania bezpečnostnej politiky IS IOM</w:t>
      </w:r>
      <w:bookmarkEnd w:id="18"/>
    </w:p>
    <w:p w:rsidR="005B4631" w:rsidRDefault="005B4631" w:rsidP="005B4631"/>
    <w:p w:rsidR="005B4631" w:rsidRDefault="005B4631" w:rsidP="005B4631">
      <w:r>
        <w:t>Povinná osoba písomne ustanoví zodpovedného zamestnanca zodpovedného za dodržiavanie bezpečnostnej politiky IS IOM a vykoná o tom zápis, ktorý sa stáva prílohou tejto bezpečnostnej politiky.</w:t>
      </w:r>
    </w:p>
    <w:p w:rsidR="005B4631" w:rsidRDefault="005B4631" w:rsidP="005B4631"/>
    <w:p w:rsidR="005B4631" w:rsidRPr="004D000E" w:rsidRDefault="005B4631" w:rsidP="005B4631">
      <w:pPr>
        <w:pStyle w:val="Nadpis2"/>
        <w:numPr>
          <w:ilvl w:val="1"/>
          <w:numId w:val="1"/>
        </w:numPr>
        <w:ind w:left="360" w:hanging="360"/>
      </w:pPr>
      <w:bookmarkStart w:id="19" w:name="_Toc416953789"/>
      <w:r w:rsidRPr="004D000E">
        <w:t>Určenie konkrétnej zodpovednosti za jednotlivé aktíva povinnej osoby</w:t>
      </w:r>
      <w:bookmarkEnd w:id="19"/>
    </w:p>
    <w:p w:rsidR="005B4631" w:rsidRDefault="005B4631" w:rsidP="005B4631"/>
    <w:p w:rsidR="005B4631" w:rsidRDefault="005B4631" w:rsidP="005B4631">
      <w:r>
        <w:t>Povinná osoba písomne ustanoví zodpovedných zamestnancov  zodpovedných za jednotlivé aktíva IS IOM a vykoná o tom zápis, ktorý sa stáva prílohou tejto bezpečnostnej politiky.</w:t>
      </w:r>
    </w:p>
    <w:p w:rsidR="005B4631" w:rsidRDefault="005B4631" w:rsidP="005B4631"/>
    <w:p w:rsidR="005B4631" w:rsidRDefault="005B4631" w:rsidP="005B4631">
      <w:pPr>
        <w:pStyle w:val="Nadpis2"/>
        <w:numPr>
          <w:ilvl w:val="1"/>
          <w:numId w:val="1"/>
        </w:numPr>
        <w:ind w:left="360" w:hanging="360"/>
      </w:pPr>
      <w:bookmarkStart w:id="20" w:name="_Toc416953790"/>
      <w:r w:rsidRPr="004D000E">
        <w:t>Určenie privilegovaných používateľských rolí, určenie bezpečnostných požiadaviek na jednotlivé roly, určenie požiadaviek na nezlučiteľnosť rolí.</w:t>
      </w:r>
      <w:bookmarkEnd w:id="20"/>
      <w:r w:rsidRPr="004D000E">
        <w:t xml:space="preserve"> </w:t>
      </w:r>
    </w:p>
    <w:p w:rsidR="005B4631" w:rsidRDefault="005B4631" w:rsidP="005B4631"/>
    <w:p w:rsidR="005B4631" w:rsidRPr="008B1D52" w:rsidRDefault="005B4631" w:rsidP="005B4631">
      <w:r>
        <w:t>Pri prideľovaní privilegovaných používateľských rolí dbá povinná osoba na požiadavky na nezlučiteľnosti rolí. Medzi navzájom nezlučiteľné role patria najmä: správca systému, operátor, používateľ IS IOM (pracovník IOM), audítor a programátor.</w:t>
      </w:r>
    </w:p>
    <w:p w:rsidR="005B4631" w:rsidRPr="00297EE8" w:rsidRDefault="005B4631" w:rsidP="005B4631"/>
    <w:p w:rsidR="005B4631" w:rsidRDefault="005B4631" w:rsidP="005B4631">
      <w:pPr>
        <w:pStyle w:val="Normal-Bold"/>
        <w:rPr>
          <w:color w:val="000000"/>
        </w:rPr>
      </w:pPr>
    </w:p>
    <w:p w:rsidR="005B4631" w:rsidRDefault="005B4631" w:rsidP="005B4631">
      <w:pPr>
        <w:pStyle w:val="Normal-Bold"/>
        <w:rPr>
          <w:color w:val="000000"/>
        </w:rPr>
      </w:pPr>
    </w:p>
    <w:p w:rsidR="005B4631" w:rsidRDefault="005B4631" w:rsidP="005B4631">
      <w:pPr>
        <w:pStyle w:val="Normal-Bold"/>
        <w:rPr>
          <w:color w:val="000000"/>
        </w:rPr>
      </w:pPr>
    </w:p>
    <w:p w:rsidR="005B4631" w:rsidRDefault="005B4631" w:rsidP="005B4631">
      <w:pPr>
        <w:pStyle w:val="Normal-Bold"/>
        <w:rPr>
          <w:color w:val="000000"/>
        </w:rPr>
      </w:pPr>
    </w:p>
    <w:p w:rsidR="005B4631" w:rsidRDefault="005B4631" w:rsidP="005B4631">
      <w:pPr>
        <w:pStyle w:val="Normal-Bold"/>
        <w:rPr>
          <w:color w:val="000000"/>
        </w:rPr>
      </w:pPr>
    </w:p>
    <w:p w:rsidR="005B4631" w:rsidRDefault="005B4631" w:rsidP="005B4631">
      <w:pPr>
        <w:pStyle w:val="Normal-Bold"/>
        <w:rPr>
          <w:color w:val="000000"/>
        </w:rPr>
      </w:pPr>
    </w:p>
    <w:p w:rsidR="005B4631" w:rsidRDefault="005B4631" w:rsidP="005B4631">
      <w:pPr>
        <w:rPr>
          <w:b/>
          <w:color w:val="000000"/>
          <w:sz w:val="22"/>
          <w:szCs w:val="22"/>
        </w:rPr>
      </w:pPr>
    </w:p>
    <w:p w:rsidR="005B4631" w:rsidRDefault="005B4631" w:rsidP="005B4631">
      <w:pPr>
        <w:pStyle w:val="Normal-Bold"/>
        <w:rPr>
          <w:color w:val="000000"/>
        </w:rPr>
      </w:pPr>
    </w:p>
    <w:p w:rsidR="00BA0230" w:rsidRDefault="00BA0230"/>
    <w:sectPr w:rsidR="00BA0230" w:rsidSect="00713FDA">
      <w:headerReference w:type="default" r:id="rId16"/>
      <w:footerReference w:type="default" r:id="rId17"/>
      <w:pgSz w:w="11902" w:h="16835"/>
      <w:pgMar w:top="1080" w:right="1080" w:bottom="108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CE" w:rsidRDefault="001E53F1">
      <w:r>
        <w:separator/>
      </w:r>
    </w:p>
  </w:endnote>
  <w:endnote w:type="continuationSeparator" w:id="0">
    <w:p w:rsidR="00060DCE" w:rsidRDefault="001E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1A" w:rsidRDefault="005B4631">
    <w:pPr>
      <w:spacing w:before="100" w:after="100" w:line="276" w:lineRule="auto"/>
      <w:jc w:val="both"/>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2" w:type="dxa"/>
      <w:tblInd w:w="60" w:type="dxa"/>
      <w:tblLayout w:type="fixed"/>
      <w:tblCellMar>
        <w:left w:w="60" w:type="dxa"/>
        <w:right w:w="60" w:type="dxa"/>
      </w:tblCellMar>
      <w:tblLook w:val="00A0" w:firstRow="1" w:lastRow="0" w:firstColumn="1" w:lastColumn="0" w:noHBand="0" w:noVBand="0"/>
    </w:tblPr>
    <w:tblGrid>
      <w:gridCol w:w="9732"/>
    </w:tblGrid>
    <w:tr w:rsidR="00D81B1A">
      <w:trPr>
        <w:trHeight w:val="208"/>
      </w:trPr>
      <w:tc>
        <w:tcPr>
          <w:tcW w:w="9732" w:type="dxa"/>
          <w:tcBorders>
            <w:top w:val="single" w:sz="2" w:space="0" w:color="auto"/>
          </w:tcBorders>
          <w:tcMar>
            <w:top w:w="0" w:type="dxa"/>
            <w:left w:w="3" w:type="dxa"/>
            <w:bottom w:w="0" w:type="dxa"/>
            <w:right w:w="60" w:type="dxa"/>
          </w:tcMar>
        </w:tcPr>
        <w:p w:rsidR="00D81B1A" w:rsidRDefault="005B4631">
          <w:pPr>
            <w:jc w:val="right"/>
          </w:pPr>
          <w:r>
            <w:rPr>
              <w:rStyle w:val="PtaChar"/>
              <w:sz w:val="22"/>
              <w:szCs w:val="22"/>
            </w:rPr>
            <w:t xml:space="preserve"> </w:t>
          </w:r>
          <w:r>
            <w:rPr>
              <w:rStyle w:val="PtaChar"/>
              <w:sz w:val="22"/>
              <w:szCs w:val="22"/>
            </w:rPr>
            <w:fldChar w:fldCharType="begin"/>
          </w:r>
          <w:r>
            <w:rPr>
              <w:rStyle w:val="PtaChar"/>
              <w:sz w:val="22"/>
              <w:szCs w:val="22"/>
            </w:rPr>
            <w:instrText xml:space="preserve">PAGE </w:instrText>
          </w:r>
          <w:r>
            <w:rPr>
              <w:rStyle w:val="PtaChar"/>
              <w:sz w:val="22"/>
              <w:szCs w:val="22"/>
            </w:rPr>
            <w:fldChar w:fldCharType="separate"/>
          </w:r>
          <w:r w:rsidR="000D7623">
            <w:rPr>
              <w:rStyle w:val="PtaChar"/>
              <w:noProof/>
              <w:sz w:val="22"/>
              <w:szCs w:val="22"/>
            </w:rPr>
            <w:t>10</w:t>
          </w:r>
          <w:r>
            <w:rPr>
              <w:rStyle w:val="PtaChar"/>
              <w:sz w:val="22"/>
              <w:szCs w:val="22"/>
            </w:rPr>
            <w:fldChar w:fldCharType="end"/>
          </w:r>
          <w:r>
            <w:rPr>
              <w:rStyle w:val="PtaChar"/>
              <w:sz w:val="22"/>
              <w:szCs w:val="22"/>
            </w:rPr>
            <w:t xml:space="preserve"> z </w:t>
          </w:r>
          <w:r>
            <w:rPr>
              <w:rStyle w:val="PtaChar"/>
              <w:sz w:val="22"/>
              <w:szCs w:val="22"/>
            </w:rPr>
            <w:fldChar w:fldCharType="begin"/>
          </w:r>
          <w:r>
            <w:rPr>
              <w:rStyle w:val="PtaChar"/>
              <w:sz w:val="22"/>
              <w:szCs w:val="22"/>
            </w:rPr>
            <w:instrText xml:space="preserve">NUMPAGES </w:instrText>
          </w:r>
          <w:r>
            <w:rPr>
              <w:rStyle w:val="PtaChar"/>
              <w:sz w:val="22"/>
              <w:szCs w:val="22"/>
            </w:rPr>
            <w:fldChar w:fldCharType="separate"/>
          </w:r>
          <w:r w:rsidR="000D7623">
            <w:rPr>
              <w:rStyle w:val="PtaChar"/>
              <w:noProof/>
              <w:sz w:val="22"/>
              <w:szCs w:val="22"/>
            </w:rPr>
            <w:t>10</w:t>
          </w:r>
          <w:r>
            <w:rPr>
              <w:rStyle w:val="PtaChar"/>
              <w:sz w:val="22"/>
              <w:szCs w:val="22"/>
            </w:rPr>
            <w:fldChar w:fldCharType="end"/>
          </w:r>
        </w:p>
      </w:tc>
    </w:tr>
  </w:tbl>
  <w:p w:rsidR="00D81B1A" w:rsidRDefault="000D7623">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CE" w:rsidRDefault="001E53F1">
      <w:r>
        <w:separator/>
      </w:r>
    </w:p>
  </w:footnote>
  <w:footnote w:type="continuationSeparator" w:id="0">
    <w:p w:rsidR="00060DCE" w:rsidRDefault="001E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60" w:type="dxa"/>
      <w:tblLayout w:type="fixed"/>
      <w:tblCellMar>
        <w:left w:w="60" w:type="dxa"/>
        <w:right w:w="60" w:type="dxa"/>
      </w:tblCellMar>
      <w:tblLook w:val="00A0" w:firstRow="1" w:lastRow="0" w:firstColumn="1" w:lastColumn="0" w:noHBand="0" w:noVBand="0"/>
    </w:tblPr>
    <w:tblGrid>
      <w:gridCol w:w="2250"/>
      <w:gridCol w:w="2430"/>
      <w:gridCol w:w="2160"/>
      <w:gridCol w:w="2520"/>
    </w:tblGrid>
    <w:tr w:rsidR="00D81B1A">
      <w:trPr>
        <w:trHeight w:val="472"/>
      </w:trPr>
      <w:tc>
        <w:tcPr>
          <w:tcW w:w="2250" w:type="dxa"/>
          <w:tcMar>
            <w:top w:w="0" w:type="dxa"/>
            <w:left w:w="3" w:type="dxa"/>
            <w:bottom w:w="0" w:type="dxa"/>
            <w:right w:w="60" w:type="dxa"/>
          </w:tcMar>
        </w:tcPr>
        <w:p w:rsidR="00D81B1A" w:rsidRDefault="005B4631">
          <w:pPr>
            <w:spacing w:before="100" w:after="100" w:line="276" w:lineRule="auto"/>
            <w:jc w:val="center"/>
          </w:pPr>
          <w:r>
            <w:rPr>
              <w:noProof/>
            </w:rPr>
            <w:drawing>
              <wp:inline distT="0" distB="0" distL="0" distR="0" wp14:anchorId="28DBDB85" wp14:editId="1581501D">
                <wp:extent cx="1014730" cy="334645"/>
                <wp:effectExtent l="0" t="0" r="0" b="825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334645"/>
                        </a:xfrm>
                        <a:prstGeom prst="rect">
                          <a:avLst/>
                        </a:prstGeom>
                        <a:noFill/>
                        <a:ln>
                          <a:noFill/>
                        </a:ln>
                      </pic:spPr>
                    </pic:pic>
                  </a:graphicData>
                </a:graphic>
              </wp:inline>
            </w:drawing>
          </w:r>
        </w:p>
      </w:tc>
      <w:tc>
        <w:tcPr>
          <w:tcW w:w="2430" w:type="dxa"/>
          <w:tcMar>
            <w:top w:w="0" w:type="dxa"/>
            <w:left w:w="3" w:type="dxa"/>
            <w:bottom w:w="0" w:type="dxa"/>
            <w:right w:w="60" w:type="dxa"/>
          </w:tcMar>
        </w:tcPr>
        <w:p w:rsidR="00D81B1A" w:rsidRDefault="005B4631">
          <w:pPr>
            <w:spacing w:before="100" w:after="100" w:line="276" w:lineRule="auto"/>
            <w:jc w:val="center"/>
          </w:pPr>
          <w:r>
            <w:rPr>
              <w:noProof/>
            </w:rPr>
            <w:drawing>
              <wp:inline distT="0" distB="0" distL="0" distR="0" wp14:anchorId="1CEB375D" wp14:editId="06B7A190">
                <wp:extent cx="691515" cy="44577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445770"/>
                        </a:xfrm>
                        <a:prstGeom prst="rect">
                          <a:avLst/>
                        </a:prstGeom>
                        <a:noFill/>
                        <a:ln>
                          <a:noFill/>
                        </a:ln>
                      </pic:spPr>
                    </pic:pic>
                  </a:graphicData>
                </a:graphic>
              </wp:inline>
            </w:drawing>
          </w:r>
          <w:r>
            <w:rPr>
              <w:sz w:val="22"/>
              <w:szCs w:val="22"/>
            </w:rPr>
            <w:t xml:space="preserve"> </w:t>
          </w:r>
        </w:p>
      </w:tc>
      <w:tc>
        <w:tcPr>
          <w:tcW w:w="2160" w:type="dxa"/>
          <w:tcMar>
            <w:top w:w="0" w:type="dxa"/>
            <w:left w:w="3" w:type="dxa"/>
            <w:bottom w:w="0" w:type="dxa"/>
            <w:right w:w="60" w:type="dxa"/>
          </w:tcMar>
        </w:tcPr>
        <w:p w:rsidR="00D81B1A" w:rsidRDefault="005B4631">
          <w:pPr>
            <w:spacing w:before="100" w:after="100" w:line="276" w:lineRule="auto"/>
            <w:jc w:val="center"/>
          </w:pPr>
          <w:r>
            <w:rPr>
              <w:noProof/>
            </w:rPr>
            <w:drawing>
              <wp:inline distT="0" distB="0" distL="0" distR="0" wp14:anchorId="4DBDBC52" wp14:editId="02EE79AC">
                <wp:extent cx="390525" cy="423545"/>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3545"/>
                        </a:xfrm>
                        <a:prstGeom prst="rect">
                          <a:avLst/>
                        </a:prstGeom>
                        <a:noFill/>
                        <a:ln>
                          <a:noFill/>
                        </a:ln>
                      </pic:spPr>
                    </pic:pic>
                  </a:graphicData>
                </a:graphic>
              </wp:inline>
            </w:drawing>
          </w:r>
          <w:r>
            <w:rPr>
              <w:sz w:val="22"/>
              <w:szCs w:val="22"/>
            </w:rPr>
            <w:t xml:space="preserve">  </w:t>
          </w:r>
        </w:p>
      </w:tc>
      <w:tc>
        <w:tcPr>
          <w:tcW w:w="2520" w:type="dxa"/>
          <w:tcMar>
            <w:top w:w="0" w:type="dxa"/>
            <w:left w:w="3" w:type="dxa"/>
            <w:bottom w:w="0" w:type="dxa"/>
            <w:right w:w="60" w:type="dxa"/>
          </w:tcMar>
        </w:tcPr>
        <w:p w:rsidR="00D81B1A" w:rsidRDefault="005B4631">
          <w:pPr>
            <w:spacing w:before="100" w:after="100" w:line="276" w:lineRule="auto"/>
            <w:jc w:val="center"/>
            <w:rPr>
              <w:b/>
            </w:rPr>
          </w:pPr>
          <w:r>
            <w:rPr>
              <w:noProof/>
            </w:rPr>
            <w:drawing>
              <wp:inline distT="0" distB="0" distL="0" distR="0" wp14:anchorId="11BE73D5" wp14:editId="526E7CA2">
                <wp:extent cx="713740" cy="468630"/>
                <wp:effectExtent l="0" t="0" r="0" b="762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740" cy="468630"/>
                        </a:xfrm>
                        <a:prstGeom prst="rect">
                          <a:avLst/>
                        </a:prstGeom>
                        <a:noFill/>
                        <a:ln>
                          <a:noFill/>
                        </a:ln>
                      </pic:spPr>
                    </pic:pic>
                  </a:graphicData>
                </a:graphic>
              </wp:inline>
            </w:drawing>
          </w:r>
        </w:p>
      </w:tc>
    </w:tr>
  </w:tbl>
  <w:p w:rsidR="00D81B1A" w:rsidRDefault="000D7623">
    <w:pPr>
      <w:spacing w:before="100" w:after="100" w:line="276" w:lineRule="auto"/>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1A" w:rsidRDefault="005B4631">
    <w:pPr>
      <w:spacing w:before="100" w:after="100" w:line="276" w:lineRule="auto"/>
      <w:jc w:val="both"/>
      <w:rPr>
        <w:sz w:val="22"/>
        <w:szCs w:val="22"/>
      </w:rPr>
    </w:pPr>
    <w:r>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1A" w:rsidRDefault="005B4631">
    <w:pPr>
      <w:rPr>
        <w:sz w:val="22"/>
        <w:szCs w:val="22"/>
      </w:rPr>
    </w:pPr>
    <w:r>
      <w:rPr>
        <w:sz w:val="22"/>
        <w:szCs w:val="22"/>
      </w:rPr>
      <w:t xml:space="preserve"> </w:t>
    </w:r>
  </w:p>
  <w:tbl>
    <w:tblPr>
      <w:tblW w:w="9360" w:type="dxa"/>
      <w:tblInd w:w="60" w:type="dxa"/>
      <w:tblLayout w:type="fixed"/>
      <w:tblCellMar>
        <w:left w:w="60" w:type="dxa"/>
        <w:right w:w="60" w:type="dxa"/>
      </w:tblCellMar>
      <w:tblLook w:val="00A0" w:firstRow="1" w:lastRow="0" w:firstColumn="1" w:lastColumn="0" w:noHBand="0" w:noVBand="0"/>
    </w:tblPr>
    <w:tblGrid>
      <w:gridCol w:w="2250"/>
      <w:gridCol w:w="2430"/>
      <w:gridCol w:w="2160"/>
      <w:gridCol w:w="2520"/>
    </w:tblGrid>
    <w:tr w:rsidR="00D81B1A">
      <w:trPr>
        <w:trHeight w:val="472"/>
      </w:trPr>
      <w:tc>
        <w:tcPr>
          <w:tcW w:w="2250" w:type="dxa"/>
          <w:tcMar>
            <w:top w:w="0" w:type="dxa"/>
            <w:left w:w="3" w:type="dxa"/>
            <w:bottom w:w="0" w:type="dxa"/>
            <w:right w:w="60" w:type="dxa"/>
          </w:tcMar>
        </w:tcPr>
        <w:p w:rsidR="00D81B1A" w:rsidRDefault="005B4631">
          <w:pPr>
            <w:spacing w:before="100" w:after="100" w:line="276" w:lineRule="auto"/>
            <w:jc w:val="center"/>
          </w:pPr>
          <w:r>
            <w:rPr>
              <w:noProof/>
            </w:rPr>
            <w:drawing>
              <wp:inline distT="0" distB="0" distL="0" distR="0" wp14:anchorId="1A0C6980" wp14:editId="6938167C">
                <wp:extent cx="1014730" cy="334645"/>
                <wp:effectExtent l="0" t="0" r="0" b="8255"/>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334645"/>
                        </a:xfrm>
                        <a:prstGeom prst="rect">
                          <a:avLst/>
                        </a:prstGeom>
                        <a:noFill/>
                        <a:ln>
                          <a:noFill/>
                        </a:ln>
                      </pic:spPr>
                    </pic:pic>
                  </a:graphicData>
                </a:graphic>
              </wp:inline>
            </w:drawing>
          </w:r>
        </w:p>
      </w:tc>
      <w:tc>
        <w:tcPr>
          <w:tcW w:w="2430" w:type="dxa"/>
          <w:tcMar>
            <w:top w:w="0" w:type="dxa"/>
            <w:left w:w="3" w:type="dxa"/>
            <w:bottom w:w="0" w:type="dxa"/>
            <w:right w:w="60" w:type="dxa"/>
          </w:tcMar>
        </w:tcPr>
        <w:p w:rsidR="00D81B1A" w:rsidRDefault="005B4631">
          <w:pPr>
            <w:spacing w:before="100" w:after="100" w:line="276" w:lineRule="auto"/>
            <w:jc w:val="center"/>
          </w:pPr>
          <w:r>
            <w:rPr>
              <w:noProof/>
            </w:rPr>
            <w:drawing>
              <wp:inline distT="0" distB="0" distL="0" distR="0" wp14:anchorId="27C37BB9" wp14:editId="116E3889">
                <wp:extent cx="691515" cy="445770"/>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445770"/>
                        </a:xfrm>
                        <a:prstGeom prst="rect">
                          <a:avLst/>
                        </a:prstGeom>
                        <a:noFill/>
                        <a:ln>
                          <a:noFill/>
                        </a:ln>
                      </pic:spPr>
                    </pic:pic>
                  </a:graphicData>
                </a:graphic>
              </wp:inline>
            </w:drawing>
          </w:r>
          <w:r>
            <w:rPr>
              <w:sz w:val="22"/>
              <w:szCs w:val="22"/>
            </w:rPr>
            <w:t xml:space="preserve"> </w:t>
          </w:r>
        </w:p>
      </w:tc>
      <w:tc>
        <w:tcPr>
          <w:tcW w:w="2160" w:type="dxa"/>
          <w:tcMar>
            <w:top w:w="0" w:type="dxa"/>
            <w:left w:w="3" w:type="dxa"/>
            <w:bottom w:w="0" w:type="dxa"/>
            <w:right w:w="60" w:type="dxa"/>
          </w:tcMar>
        </w:tcPr>
        <w:p w:rsidR="00D81B1A" w:rsidRDefault="005B4631">
          <w:pPr>
            <w:spacing w:before="100" w:after="100" w:line="276" w:lineRule="auto"/>
            <w:jc w:val="center"/>
          </w:pPr>
          <w:r>
            <w:rPr>
              <w:noProof/>
            </w:rPr>
            <w:drawing>
              <wp:inline distT="0" distB="0" distL="0" distR="0" wp14:anchorId="4C7B8875" wp14:editId="3A2EBC2F">
                <wp:extent cx="390525" cy="423545"/>
                <wp:effectExtent l="0" t="0" r="9525" b="0"/>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3545"/>
                        </a:xfrm>
                        <a:prstGeom prst="rect">
                          <a:avLst/>
                        </a:prstGeom>
                        <a:noFill/>
                        <a:ln>
                          <a:noFill/>
                        </a:ln>
                      </pic:spPr>
                    </pic:pic>
                  </a:graphicData>
                </a:graphic>
              </wp:inline>
            </w:drawing>
          </w:r>
          <w:r>
            <w:rPr>
              <w:sz w:val="22"/>
              <w:szCs w:val="22"/>
            </w:rPr>
            <w:t xml:space="preserve">  </w:t>
          </w:r>
        </w:p>
      </w:tc>
      <w:tc>
        <w:tcPr>
          <w:tcW w:w="2520" w:type="dxa"/>
          <w:tcMar>
            <w:top w:w="0" w:type="dxa"/>
            <w:left w:w="3" w:type="dxa"/>
            <w:bottom w:w="0" w:type="dxa"/>
            <w:right w:w="60" w:type="dxa"/>
          </w:tcMar>
        </w:tcPr>
        <w:p w:rsidR="00D81B1A" w:rsidRDefault="005B4631">
          <w:pPr>
            <w:spacing w:before="100" w:after="100" w:line="276" w:lineRule="auto"/>
            <w:jc w:val="center"/>
            <w:rPr>
              <w:b/>
            </w:rPr>
          </w:pPr>
          <w:r>
            <w:rPr>
              <w:noProof/>
            </w:rPr>
            <w:drawing>
              <wp:inline distT="0" distB="0" distL="0" distR="0" wp14:anchorId="2DF61C16" wp14:editId="55A036A2">
                <wp:extent cx="713740" cy="468630"/>
                <wp:effectExtent l="0" t="0" r="0" b="7620"/>
                <wp:docPr id="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740" cy="468630"/>
                        </a:xfrm>
                        <a:prstGeom prst="rect">
                          <a:avLst/>
                        </a:prstGeom>
                        <a:noFill/>
                        <a:ln>
                          <a:noFill/>
                        </a:ln>
                      </pic:spPr>
                    </pic:pic>
                  </a:graphicData>
                </a:graphic>
              </wp:inline>
            </w:drawing>
          </w:r>
        </w:p>
      </w:tc>
    </w:tr>
  </w:tbl>
  <w:p w:rsidR="00D81B1A" w:rsidRDefault="000D7623">
    <w:pPr>
      <w:spacing w:before="100" w:after="100" w:line="276" w:lineRule="auto"/>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7DB86622"/>
    <w:name w:val="List16611234_1"/>
    <w:lvl w:ilvl="0">
      <w:start w:val="1"/>
      <w:numFmt w:val="decimal"/>
      <w:lvlText w:val="%1."/>
      <w:lvlJc w:val="left"/>
      <w:rPr>
        <w:rFonts w:cs="Times New Roman"/>
        <w:b/>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27911B22"/>
    <w:multiLevelType w:val="hybridMultilevel"/>
    <w:tmpl w:val="5F549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31"/>
    <w:rsid w:val="00060DCE"/>
    <w:rsid w:val="000D7623"/>
    <w:rsid w:val="001E53F1"/>
    <w:rsid w:val="005B4631"/>
    <w:rsid w:val="00BA0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29785-7273-44E4-A050-959BDC1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4631"/>
    <w:pPr>
      <w:spacing w:after="0" w:line="240" w:lineRule="auto"/>
    </w:pPr>
    <w:rPr>
      <w:rFonts w:ascii="Arial" w:eastAsia="Arial" w:hAnsi="Arial" w:cs="Arial"/>
      <w:sz w:val="24"/>
      <w:szCs w:val="24"/>
      <w:lang w:eastAsia="sk-SK"/>
    </w:rPr>
  </w:style>
  <w:style w:type="paragraph" w:styleId="Nadpis1">
    <w:name w:val="heading 1"/>
    <w:basedOn w:val="Normlny"/>
    <w:next w:val="Normlny"/>
    <w:link w:val="Nadpis1Char"/>
    <w:uiPriority w:val="99"/>
    <w:qFormat/>
    <w:rsid w:val="005B4631"/>
    <w:pPr>
      <w:keepNext/>
      <w:keepLines/>
      <w:spacing w:before="100" w:after="100" w:line="276" w:lineRule="auto"/>
      <w:jc w:val="both"/>
      <w:outlineLvl w:val="0"/>
    </w:pPr>
    <w:rPr>
      <w:b/>
      <w:color w:val="1F497D"/>
      <w:sz w:val="28"/>
      <w:szCs w:val="28"/>
    </w:rPr>
  </w:style>
  <w:style w:type="paragraph" w:styleId="Nadpis2">
    <w:name w:val="heading 2"/>
    <w:basedOn w:val="Normlny"/>
    <w:next w:val="Normlny"/>
    <w:link w:val="Nadpis2Char"/>
    <w:uiPriority w:val="99"/>
    <w:qFormat/>
    <w:rsid w:val="005B4631"/>
    <w:pPr>
      <w:keepNext/>
      <w:keepLines/>
      <w:spacing w:before="200" w:line="276" w:lineRule="auto"/>
      <w:jc w:val="both"/>
      <w:outlineLvl w:val="1"/>
    </w:pPr>
    <w:rPr>
      <w:b/>
      <w:color w:val="4F81BD"/>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B4631"/>
    <w:rPr>
      <w:rFonts w:ascii="Arial" w:eastAsia="Arial" w:hAnsi="Arial" w:cs="Arial"/>
      <w:b/>
      <w:color w:val="1F497D"/>
      <w:sz w:val="28"/>
      <w:szCs w:val="28"/>
      <w:lang w:eastAsia="sk-SK"/>
    </w:rPr>
  </w:style>
  <w:style w:type="character" w:customStyle="1" w:styleId="Nadpis2Char">
    <w:name w:val="Nadpis 2 Char"/>
    <w:basedOn w:val="Predvolenpsmoodseku"/>
    <w:link w:val="Nadpis2"/>
    <w:uiPriority w:val="99"/>
    <w:rsid w:val="005B4631"/>
    <w:rPr>
      <w:rFonts w:ascii="Arial" w:eastAsia="Arial" w:hAnsi="Arial" w:cs="Arial"/>
      <w:b/>
      <w:color w:val="4F81BD"/>
      <w:sz w:val="28"/>
      <w:szCs w:val="28"/>
      <w:lang w:eastAsia="sk-SK"/>
    </w:rPr>
  </w:style>
  <w:style w:type="paragraph" w:styleId="Obsah1">
    <w:name w:val="toc 1"/>
    <w:basedOn w:val="Normlny"/>
    <w:next w:val="Normlny"/>
    <w:uiPriority w:val="99"/>
    <w:rsid w:val="005B4631"/>
    <w:rPr>
      <w:rFonts w:ascii="Times New Roman" w:eastAsia="Times New Roman" w:hAnsi="Times New Roman" w:cs="Times New Roman"/>
      <w:b/>
      <w:color w:val="000000"/>
      <w:sz w:val="28"/>
      <w:szCs w:val="28"/>
    </w:rPr>
  </w:style>
  <w:style w:type="paragraph" w:styleId="Obsah2">
    <w:name w:val="toc 2"/>
    <w:basedOn w:val="Normlny"/>
    <w:next w:val="Normlny"/>
    <w:uiPriority w:val="99"/>
    <w:rsid w:val="005B4631"/>
    <w:pPr>
      <w:ind w:left="180"/>
    </w:pPr>
    <w:rPr>
      <w:rFonts w:ascii="Times New Roman" w:eastAsia="Times New Roman" w:hAnsi="Times New Roman" w:cs="Times New Roman"/>
      <w:b/>
      <w:color w:val="000000"/>
    </w:rPr>
  </w:style>
  <w:style w:type="paragraph" w:styleId="Pta">
    <w:name w:val="footer"/>
    <w:basedOn w:val="Normlny"/>
    <w:link w:val="PtaChar"/>
    <w:uiPriority w:val="99"/>
    <w:rsid w:val="005B4631"/>
    <w:pPr>
      <w:spacing w:before="100" w:after="100" w:line="276" w:lineRule="auto"/>
      <w:jc w:val="both"/>
    </w:pPr>
    <w:rPr>
      <w:sz w:val="22"/>
      <w:szCs w:val="22"/>
    </w:rPr>
  </w:style>
  <w:style w:type="character" w:customStyle="1" w:styleId="PtaChar">
    <w:name w:val="Päta Char"/>
    <w:basedOn w:val="Predvolenpsmoodseku"/>
    <w:link w:val="Pta"/>
    <w:uiPriority w:val="99"/>
    <w:rsid w:val="005B4631"/>
    <w:rPr>
      <w:rFonts w:ascii="Arial" w:eastAsia="Arial" w:hAnsi="Arial" w:cs="Arial"/>
      <w:lang w:eastAsia="sk-SK"/>
    </w:rPr>
  </w:style>
  <w:style w:type="paragraph" w:customStyle="1" w:styleId="Normal-Bold">
    <w:name w:val="Normal - Bold"/>
    <w:basedOn w:val="Normlny"/>
    <w:uiPriority w:val="99"/>
    <w:rsid w:val="005B4631"/>
    <w:pPr>
      <w:spacing w:before="100" w:after="100" w:line="276" w:lineRule="auto"/>
      <w:jc w:val="both"/>
    </w:pPr>
    <w:rPr>
      <w:b/>
      <w:sz w:val="22"/>
      <w:szCs w:val="22"/>
    </w:rPr>
  </w:style>
  <w:style w:type="character" w:styleId="Hypertextovprepojenie">
    <w:name w:val="Hyperlink"/>
    <w:uiPriority w:val="99"/>
    <w:rsid w:val="005B4631"/>
    <w:rPr>
      <w:rFonts w:cs="Times New Roman"/>
      <w:color w:val="0000FF"/>
      <w:u w:val="single" w:color="000000"/>
    </w:rPr>
  </w:style>
  <w:style w:type="paragraph" w:customStyle="1" w:styleId="F2-ZkladnText">
    <w:name w:val="F2-ZákladnýText"/>
    <w:basedOn w:val="Normlny"/>
    <w:rsid w:val="005B4631"/>
    <w:pPr>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formatiz&#225;cia.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tiz&#225;ci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formatiz&#225;cia.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is.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2318</Words>
  <Characters>13217</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HUDECOVÁ Gabriela</dc:creator>
  <cp:keywords/>
  <dc:description/>
  <cp:lastModifiedBy>HUDECOVÁ Gabriela</cp:lastModifiedBy>
  <cp:revision>3</cp:revision>
  <dcterms:created xsi:type="dcterms:W3CDTF">2017-11-06T12:36:00Z</dcterms:created>
  <dcterms:modified xsi:type="dcterms:W3CDTF">2017-12-29T09:14:00Z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